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4A" w:rsidRPr="009A2804" w:rsidRDefault="00CE5C6B" w:rsidP="00AA4E4A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CE5C6B">
        <w:rPr>
          <w:rFonts w:asciiTheme="minorHAnsi" w:hAnsiTheme="minorHAnsi" w:cstheme="minorHAnsi"/>
          <w:b/>
          <w:noProof/>
          <w:sz w:val="20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0.55pt;margin-top:-46.4pt;width:231.0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Hv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" stroked="f">
            <v:textbox>
              <w:txbxContent>
                <w:p w:rsidR="000B378B" w:rsidRPr="00CF2300" w:rsidRDefault="000B378B" w:rsidP="00AA4E4A">
                  <w:pPr>
                    <w:jc w:val="right"/>
                    <w:rPr>
                      <w:sz w:val="18"/>
                      <w:szCs w:val="18"/>
                    </w:rPr>
                  </w:pPr>
                  <w:r w:rsidRPr="00CF2300">
                    <w:rPr>
                      <w:sz w:val="18"/>
                      <w:szCs w:val="18"/>
                    </w:rPr>
                    <w:t xml:space="preserve">Periodo Cubierto: </w:t>
                  </w:r>
                  <w:r>
                    <w:rPr>
                      <w:rStyle w:val="Textodelmarcadordeposicin1"/>
                      <w:sz w:val="16"/>
                      <w:szCs w:val="16"/>
                    </w:rPr>
                    <w:t>2012</w:t>
                  </w:r>
                </w:p>
              </w:txbxContent>
            </v:textbox>
          </v:shape>
        </w:pict>
      </w:r>
      <w:r w:rsidR="00AA4E4A" w:rsidRPr="009A2804">
        <w:rPr>
          <w:rFonts w:asciiTheme="minorHAnsi" w:hAnsiTheme="minorHAnsi" w:cstheme="minorHAnsi"/>
          <w:b/>
          <w:sz w:val="20"/>
          <w:szCs w:val="20"/>
          <w:lang w:val="es-MX"/>
        </w:rPr>
        <w:t>Informe Anual</w:t>
      </w:r>
    </w:p>
    <w:p w:rsidR="00AA4E4A" w:rsidRPr="009A2804" w:rsidRDefault="00AA4E4A" w:rsidP="00AA4E4A">
      <w:pPr>
        <w:pStyle w:val="Listavistosa-nfasis11"/>
        <w:numPr>
          <w:ilvl w:val="0"/>
          <w:numId w:val="1"/>
        </w:numPr>
        <w:rPr>
          <w:rFonts w:asciiTheme="minorHAnsi" w:hAnsiTheme="minorHAnsi" w:cstheme="minorHAnsi"/>
          <w:b/>
          <w:bCs/>
          <w:smallCaps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b/>
          <w:bCs/>
          <w:smallCaps/>
          <w:sz w:val="20"/>
          <w:szCs w:val="20"/>
          <w:lang w:val="es-MX"/>
        </w:rPr>
        <w:t xml:space="preserve">Información general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AA4E4A" w:rsidRPr="009A2804"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Título completo</w:t>
            </w:r>
          </w:p>
        </w:tc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Proyecto de plataforma de información sobre la institucionalización de la política social</w:t>
            </w:r>
          </w:p>
        </w:tc>
      </w:tr>
      <w:tr w:rsidR="00AA4E4A" w:rsidRPr="009A2804"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No. de proyecto</w:t>
            </w:r>
          </w:p>
        </w:tc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00071396</w:t>
            </w:r>
          </w:p>
        </w:tc>
      </w:tr>
      <w:tr w:rsidR="00AA4E4A" w:rsidRPr="009A2804"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Agencia de ejecución</w:t>
            </w:r>
          </w:p>
        </w:tc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Transparencia Mexicana A</w:t>
            </w:r>
            <w:r w:rsidR="008C32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</w:t>
            </w:r>
            <w:r w:rsidR="008C32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</w:t>
            </w:r>
          </w:p>
        </w:tc>
      </w:tr>
      <w:tr w:rsidR="00AA4E4A" w:rsidRPr="009A2804"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Presupuesto total</w:t>
            </w:r>
          </w:p>
        </w:tc>
        <w:tc>
          <w:tcPr>
            <w:tcW w:w="4489" w:type="dxa"/>
          </w:tcPr>
          <w:p w:rsidR="00AA4E4A" w:rsidRPr="009A2804" w:rsidRDefault="00AA4E4A" w:rsidP="000C7BC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USD  </w:t>
            </w:r>
            <w:r w:rsidR="000C7BC1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548,755.56</w:t>
            </w:r>
          </w:p>
        </w:tc>
      </w:tr>
      <w:tr w:rsidR="00AA4E4A" w:rsidRPr="009A2804"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Presupuesto disponible para el año</w:t>
            </w:r>
          </w:p>
        </w:tc>
        <w:tc>
          <w:tcPr>
            <w:tcW w:w="4489" w:type="dxa"/>
          </w:tcPr>
          <w:p w:rsidR="00AA4E4A" w:rsidRPr="009A2804" w:rsidRDefault="00825739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USD $ </w:t>
            </w:r>
            <w:r w:rsidR="008C32D9">
              <w:rPr>
                <w:sz w:val="20"/>
                <w:szCs w:val="20"/>
                <w:lang w:val="es-MX"/>
              </w:rPr>
              <w:t>178,380.56</w:t>
            </w:r>
          </w:p>
        </w:tc>
      </w:tr>
      <w:tr w:rsidR="00AA4E4A" w:rsidRPr="009A2804"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Duración del proyecto</w:t>
            </w:r>
          </w:p>
        </w:tc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Del 01/05/2009</w:t>
            </w:r>
            <w:r w:rsidR="004909C9">
              <w:rPr>
                <w:rFonts w:asciiTheme="minorHAnsi" w:hAnsiTheme="minorHAnsi" w:cstheme="minorHAnsi"/>
                <w:smallCaps/>
                <w:sz w:val="20"/>
                <w:szCs w:val="20"/>
                <w:lang w:val="es-MX"/>
              </w:rPr>
              <w:t xml:space="preserve"> al 30/06/2013</w:t>
            </w:r>
          </w:p>
        </w:tc>
      </w:tr>
      <w:tr w:rsidR="00AA4E4A" w:rsidRPr="009A2804">
        <w:tc>
          <w:tcPr>
            <w:tcW w:w="4489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Resultado de CPD</w:t>
            </w:r>
          </w:p>
        </w:tc>
        <w:tc>
          <w:tcPr>
            <w:tcW w:w="4489" w:type="dxa"/>
          </w:tcPr>
          <w:p w:rsidR="00AA4E4A" w:rsidRPr="009A2804" w:rsidRDefault="00CE5C6B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AA4E4A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instrText xml:space="preserve"> FORMTEXT </w:instrTex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separate"/>
            </w:r>
            <w:r w:rsidR="00AA4E4A" w:rsidRPr="009A2804">
              <w:rPr>
                <w:rFonts w:asciiTheme="minorHAnsi" w:hAnsiTheme="minorHAnsi" w:cstheme="minorHAnsi"/>
                <w:noProof/>
                <w:sz w:val="20"/>
                <w:szCs w:val="20"/>
                <w:lang w:val="es-MX"/>
              </w:rPr>
              <w:t> </w:t>
            </w:r>
            <w:r w:rsidR="00AA4E4A" w:rsidRPr="009A2804">
              <w:rPr>
                <w:rFonts w:asciiTheme="minorHAnsi" w:hAnsiTheme="minorHAnsi" w:cstheme="minorHAnsi"/>
                <w:noProof/>
                <w:sz w:val="20"/>
                <w:szCs w:val="20"/>
                <w:lang w:val="es-MX"/>
              </w:rPr>
              <w:t> </w:t>
            </w:r>
            <w:r w:rsidR="00AA4E4A" w:rsidRPr="009A2804">
              <w:rPr>
                <w:rFonts w:asciiTheme="minorHAnsi" w:hAnsiTheme="minorHAnsi" w:cstheme="minorHAnsi"/>
                <w:noProof/>
                <w:sz w:val="20"/>
                <w:szCs w:val="20"/>
                <w:lang w:val="es-MX"/>
              </w:rPr>
              <w:t> </w:t>
            </w:r>
            <w:r w:rsidR="00AA4E4A" w:rsidRPr="009A2804">
              <w:rPr>
                <w:rFonts w:asciiTheme="minorHAnsi" w:hAnsiTheme="minorHAnsi" w:cstheme="minorHAnsi"/>
                <w:noProof/>
                <w:sz w:val="20"/>
                <w:szCs w:val="20"/>
                <w:lang w:val="es-MX"/>
              </w:rPr>
              <w:t> </w:t>
            </w:r>
            <w:r w:rsidR="00AA4E4A" w:rsidRPr="009A2804">
              <w:rPr>
                <w:rFonts w:asciiTheme="minorHAnsi" w:hAnsiTheme="minorHAnsi" w:cstheme="minorHAnsi"/>
                <w:noProof/>
                <w:sz w:val="20"/>
                <w:szCs w:val="20"/>
                <w:lang w:val="es-MX"/>
              </w:rPr>
              <w:t> 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end"/>
            </w:r>
            <w:bookmarkEnd w:id="0"/>
          </w:p>
        </w:tc>
      </w:tr>
      <w:tr w:rsidR="00AA4E4A" w:rsidRPr="009A2804">
        <w:tc>
          <w:tcPr>
            <w:tcW w:w="8978" w:type="dxa"/>
            <w:gridSpan w:val="2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Breve descripción del proyecto:</w:t>
            </w:r>
          </w:p>
          <w:p w:rsidR="00AA4E4A" w:rsidRPr="009A2804" w:rsidRDefault="00AA4E4A" w:rsidP="00AA4E4A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El eje que le da marco al proyecto y sobre el cual se redefinen las actividades del mismo, es el de fortalecimiento de la institucionalidad, en </w:t>
            </w:r>
            <w:r w:rsidR="00716579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é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 se inscriben los tres proyectos que se </w:t>
            </w:r>
            <w:r w:rsidR="00716579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tenía previsto desarrollar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durante este año.</w:t>
            </w:r>
          </w:p>
          <w:p w:rsidR="00AA4E4A" w:rsidRPr="00F2146E" w:rsidRDefault="00AA4E4A" w:rsidP="00F2146E">
            <w:pPr>
              <w:pStyle w:val="ListParagraph"/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2146E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IPRO Iniciativa para el fortalecimiento de la institucionalidad de los programas sociales, enmarcado en el proyecto: Plataforma de información sobre la institucionalización de la política social.</w:t>
            </w:r>
          </w:p>
          <w:p w:rsidR="00F2146E" w:rsidRPr="00F2146E" w:rsidRDefault="00F2146E" w:rsidP="00F2146E">
            <w:pPr>
              <w:tabs>
                <w:tab w:val="left" w:pos="240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2146E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1.1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Catálogo Nacional de Programas Sociales</w:t>
            </w:r>
          </w:p>
          <w:p w:rsidR="00F2146E" w:rsidRDefault="00F2146E" w:rsidP="00F214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       </w:t>
            </w:r>
            <w:r w:rsidR="00AA4E4A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2. La escuela, espacio estratégico para la ciudadanía y la democracia, derivado del proyecto: Proyecto Apoyo a las y los Jóvenes</w:t>
            </w:r>
            <w:r w:rsidR="00716579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</w:t>
            </w:r>
          </w:p>
          <w:p w:rsidR="00F2146E" w:rsidRDefault="00F2146E" w:rsidP="00F214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       3. Yucatán (cerró en 2011)</w:t>
            </w:r>
          </w:p>
          <w:p w:rsidR="00825739" w:rsidRPr="009A2804" w:rsidRDefault="00F2146E" w:rsidP="00F214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       4</w:t>
            </w:r>
            <w:r w:rsidR="00825739" w:rsidRPr="00471CAF">
              <w:rPr>
                <w:sz w:val="20"/>
                <w:szCs w:val="20"/>
                <w:lang w:val="es-MX"/>
              </w:rPr>
              <w:t>.</w:t>
            </w:r>
            <w:r>
              <w:rPr>
                <w:sz w:val="20"/>
                <w:szCs w:val="20"/>
                <w:lang w:val="es-MX"/>
              </w:rPr>
              <w:t xml:space="preserve"> O</w:t>
            </w:r>
            <w:r w:rsidR="00825739" w:rsidRPr="00471CAF">
              <w:rPr>
                <w:sz w:val="20"/>
                <w:szCs w:val="20"/>
                <w:lang w:val="es-MX"/>
              </w:rPr>
              <w:t>slo/ODM: Institucionalidad de la política social y los ODM</w:t>
            </w:r>
          </w:p>
        </w:tc>
      </w:tr>
      <w:tr w:rsidR="00F2146E" w:rsidRPr="009A2804">
        <w:tc>
          <w:tcPr>
            <w:tcW w:w="8978" w:type="dxa"/>
            <w:gridSpan w:val="2"/>
          </w:tcPr>
          <w:p w:rsidR="00F2146E" w:rsidRPr="009A2804" w:rsidRDefault="00F2146E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:rsidR="00AA4E4A" w:rsidRPr="009A2804" w:rsidRDefault="00AA4E4A" w:rsidP="00DD4EC9">
      <w:pPr>
        <w:pStyle w:val="Listavistosa-nfasis11"/>
        <w:numPr>
          <w:ilvl w:val="0"/>
          <w:numId w:val="1"/>
        </w:numPr>
        <w:spacing w:before="360" w:after="240"/>
        <w:ind w:left="357" w:hanging="357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b/>
          <w:bCs/>
          <w:smallCaps/>
          <w:sz w:val="20"/>
          <w:szCs w:val="20"/>
          <w:lang w:val="es-MX"/>
        </w:rPr>
        <w:t>Desempeño de Proyecto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2410"/>
        <w:gridCol w:w="2207"/>
      </w:tblGrid>
      <w:tr w:rsidR="00AA4E4A" w:rsidRPr="009A2804">
        <w:tc>
          <w:tcPr>
            <w:tcW w:w="8978" w:type="dxa"/>
            <w:gridSpan w:val="4"/>
            <w:shd w:val="clear" w:color="auto" w:fill="595959"/>
          </w:tcPr>
          <w:p w:rsidR="00AA4E4A" w:rsidRPr="009A2804" w:rsidRDefault="00AA4E4A" w:rsidP="000B7F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Resultado</w:t>
            </w:r>
            <w:r w:rsidR="00DD0932"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: 1</w:t>
            </w: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 xml:space="preserve">/Actividad 1: </w:t>
            </w:r>
            <w:r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IPRO Iniciativa para el fortalecimiento de la institucionalidad de los programas sociales</w:t>
            </w:r>
            <w:r w:rsidR="005829CE"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. </w:t>
            </w:r>
            <w:r w:rsidR="00DD0932"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Resultado: </w:t>
            </w:r>
            <w:r w:rsidR="0058141F"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>Actualización permanente del sistema de información de IPRO</w:t>
            </w:r>
            <w:r w:rsidR="005829CE"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.</w:t>
            </w:r>
          </w:p>
        </w:tc>
      </w:tr>
      <w:tr w:rsidR="00AA4E4A" w:rsidRPr="009A2804">
        <w:tc>
          <w:tcPr>
            <w:tcW w:w="8978" w:type="dxa"/>
            <w:gridSpan w:val="4"/>
          </w:tcPr>
          <w:p w:rsidR="00AA4E4A" w:rsidRPr="009A2804" w:rsidRDefault="00AA4E4A" w:rsidP="00581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Objetivo: </w:t>
            </w:r>
          </w:p>
          <w:p w:rsidR="009A2804" w:rsidRPr="009A2804" w:rsidRDefault="009A2804" w:rsidP="009A280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AR" w:eastAsia="en-US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AR" w:eastAsia="en-US"/>
              </w:rPr>
              <w:t>Contribuir a reforzar los criterios de protección de los programas sociales en materia de educación, salud y seguridad, a través de  la creación de una plataforma de información pública, neutral e independiente que establezca una serie de atributos y criterios mínimos de institucionalidad de la política social, y que posteriormente funcionen como una herramienta de monitoreo, análisis e investigación.</w:t>
            </w:r>
          </w:p>
          <w:p w:rsidR="009A2804" w:rsidRPr="009A2804" w:rsidRDefault="009A2804" w:rsidP="00581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</w:p>
        </w:tc>
      </w:tr>
      <w:tr w:rsidR="00AA4E4A" w:rsidRPr="009A2804">
        <w:tc>
          <w:tcPr>
            <w:tcW w:w="2518" w:type="dxa"/>
          </w:tcPr>
          <w:p w:rsidR="00AA4E4A" w:rsidRPr="009A2804" w:rsidRDefault="00AA4E4A" w:rsidP="006970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Indicadores</w:t>
            </w:r>
          </w:p>
        </w:tc>
        <w:tc>
          <w:tcPr>
            <w:tcW w:w="1843" w:type="dxa"/>
          </w:tcPr>
          <w:p w:rsidR="00AA4E4A" w:rsidRPr="009A2804" w:rsidRDefault="00AA4E4A" w:rsidP="006970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Línea de base</w:t>
            </w:r>
          </w:p>
        </w:tc>
        <w:tc>
          <w:tcPr>
            <w:tcW w:w="2410" w:type="dxa"/>
          </w:tcPr>
          <w:p w:rsidR="00AA4E4A" w:rsidRPr="009A2804" w:rsidRDefault="00AA4E4A" w:rsidP="006970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Meta (general o anual)</w:t>
            </w:r>
          </w:p>
        </w:tc>
        <w:tc>
          <w:tcPr>
            <w:tcW w:w="2207" w:type="dxa"/>
          </w:tcPr>
          <w:p w:rsidR="00AA4E4A" w:rsidRPr="009A2804" w:rsidRDefault="00AA4E4A" w:rsidP="006970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Avances</w:t>
            </w:r>
          </w:p>
        </w:tc>
      </w:tr>
      <w:tr w:rsidR="00AA4E4A" w:rsidRPr="009A2804" w:rsidTr="005829CE">
        <w:trPr>
          <w:trHeight w:val="708"/>
        </w:trPr>
        <w:tc>
          <w:tcPr>
            <w:tcW w:w="2518" w:type="dxa"/>
          </w:tcPr>
          <w:p w:rsidR="0058141F" w:rsidRPr="009A2804" w:rsidRDefault="0058141F" w:rsidP="0058141F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Número de funcionarios de dependencias de entidades federativas  y dependencias federales actualizadas entre el total de entidades y dependencias </w:t>
            </w:r>
          </w:p>
          <w:p w:rsidR="0058141F" w:rsidRPr="009A2804" w:rsidRDefault="0058141F" w:rsidP="0058141F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Número de invitaciones enviadas y recibidas entre el total de las entidades federativas y dependencias federales</w:t>
            </w:r>
          </w:p>
          <w:p w:rsidR="0058141F" w:rsidRPr="009A2804" w:rsidRDefault="0058141F" w:rsidP="0058141F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Número de solicitudes de apoyo técnico 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recibidas</w:t>
            </w:r>
          </w:p>
          <w:p w:rsidR="0058141F" w:rsidRPr="009A2804" w:rsidRDefault="0058141F" w:rsidP="0058141F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Número de intervenciones anotadas en bitácora por entidad federativa y dependencia federal</w:t>
            </w:r>
          </w:p>
          <w:p w:rsidR="00AA4E4A" w:rsidRPr="00325FC9" w:rsidRDefault="00AA4E4A" w:rsidP="00325FC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58141F" w:rsidRPr="009A2804" w:rsidRDefault="0058141F" w:rsidP="005814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Desarrollo del proyecto en 2009, con la plataforma de información desarrollada, con dependencias federales y entidades federativas participando</w:t>
            </w:r>
          </w:p>
          <w:p w:rsidR="00AA4E4A" w:rsidRPr="009A2804" w:rsidRDefault="00AA4E4A" w:rsidP="005829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4373B3" w:rsidRPr="009A2804" w:rsidRDefault="0058141F" w:rsidP="006E69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Plataforma actualizada con la información d</w:t>
            </w:r>
            <w:r w:rsidR="00A96636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e los programas sociales al 2012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.</w:t>
            </w:r>
          </w:p>
        </w:tc>
        <w:tc>
          <w:tcPr>
            <w:tcW w:w="2207" w:type="dxa"/>
          </w:tcPr>
          <w:p w:rsidR="004373B3" w:rsidRDefault="0035688E" w:rsidP="008257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Durante 2012</w:t>
            </w:r>
            <w:r w:rsidR="0082573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se llevó  a cabo </w:t>
            </w:r>
            <w:r w:rsidR="00A35E93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la </w:t>
            </w:r>
            <w:r w:rsidR="0082573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convocatoria para la actualizaron  de  programas sociales. Se invitó </w:t>
            </w:r>
            <w:r w:rsidR="00A35E93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 las 32 entidades federativas, de las cuales</w:t>
            </w:r>
            <w:r w:rsidR="00A9663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31 </w:t>
            </w:r>
            <w:r w:rsidR="0082573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entidades</w:t>
            </w:r>
            <w:r w:rsidR="00A35E93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participaron</w:t>
            </w:r>
            <w:r w:rsidR="0082573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Asimismo, se invitó a 11 dependen</w:t>
            </w:r>
            <w:r w:rsidR="00A9663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cias federales, de las cuáles 11 </w:t>
            </w:r>
            <w:r w:rsidR="0082573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actualizar</w:t>
            </w:r>
            <w:r w:rsidR="00A9663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on sus programas.</w:t>
            </w:r>
          </w:p>
          <w:p w:rsidR="008F4C31" w:rsidRPr="009A2804" w:rsidRDefault="008F4C31" w:rsidP="008257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AA4E4A" w:rsidRPr="009A2804">
        <w:tc>
          <w:tcPr>
            <w:tcW w:w="8978" w:type="dxa"/>
            <w:gridSpan w:val="4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>Descripción breve del logro anual:</w:t>
            </w:r>
          </w:p>
          <w:p w:rsidR="00AA4E4A" w:rsidRDefault="00186EAF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 cerró el año con 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  <w:r w:rsidR="00486FC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994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programas sociales en el sistema de información de IPRO, </w:t>
            </w:r>
            <w:r w:rsidR="00486FC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  <w:r w:rsidR="004328A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912</w:t>
            </w:r>
            <w:r w:rsidR="00486FC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 3</w:t>
            </w:r>
            <w:r w:rsidR="004328A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ent</w:t>
            </w:r>
            <w:r w:rsidR="0002377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idades federativas del país y 82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 11</w:t>
            </w: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dependencias federales.</w:t>
            </w:r>
            <w:r w:rsidR="004328A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Se actualizaron al 2012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, de los cuáles 1</w:t>
            </w:r>
            <w:r w:rsidR="004328A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548 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programas</w:t>
            </w:r>
            <w:r w:rsidR="0047068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siguen vigentes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, </w:t>
            </w:r>
            <w:r w:rsidR="004328A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1476</w:t>
            </w:r>
            <w:r w:rsidR="006E694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corresponden a entidades federativas y 72 a dependencias federales.</w:t>
            </w:r>
            <w:r w:rsidR="000026E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="0002377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La única entidad federativa que no participó fue Tamaulipas, Chihuahua incluyó programas a diferencia de años anteriores.</w:t>
            </w:r>
          </w:p>
          <w:p w:rsidR="00DD3545" w:rsidRDefault="00023775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Durante el año 2012 se presentó a la SEDESOL el proyecto de elaborar un Catálogo Nacional sobre Programas Sociales y se aprobó en el mes de abril.</w:t>
            </w:r>
          </w:p>
          <w:p w:rsidR="000F2EC4" w:rsidRPr="009A2804" w:rsidRDefault="000F2EC4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Al momento de la entrega del informe se está elaborando el informe de resultados de la convocatoria 2012.</w:t>
            </w:r>
          </w:p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235F82" w:rsidRPr="009A2804" w:rsidTr="00B81A3A">
        <w:tc>
          <w:tcPr>
            <w:tcW w:w="8978" w:type="dxa"/>
            <w:gridSpan w:val="4"/>
            <w:shd w:val="clear" w:color="auto" w:fill="595959"/>
          </w:tcPr>
          <w:p w:rsidR="00235F82" w:rsidRDefault="00235F82" w:rsidP="000B378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  <w:p w:rsidR="00235F82" w:rsidRPr="009A2804" w:rsidRDefault="00235F82" w:rsidP="0002377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Resultado1</w:t>
            </w:r>
            <w:r w:rsidR="00F2146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.1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/Actividad 1.1</w:t>
            </w:r>
            <w:r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Pr="00235F8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="0002377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Catálogo Nacional de Programas Sociales</w:t>
            </w:r>
          </w:p>
        </w:tc>
      </w:tr>
      <w:tr w:rsidR="00235F82" w:rsidRPr="009A2804" w:rsidTr="00B81A3A">
        <w:tc>
          <w:tcPr>
            <w:tcW w:w="8978" w:type="dxa"/>
            <w:gridSpan w:val="4"/>
            <w:shd w:val="clear" w:color="auto" w:fill="595959"/>
          </w:tcPr>
          <w:p w:rsidR="00235F82" w:rsidRPr="00235F82" w:rsidRDefault="00235F82" w:rsidP="00235F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235F8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Objetivo: </w:t>
            </w:r>
          </w:p>
          <w:p w:rsidR="00235F82" w:rsidRPr="00235F82" w:rsidRDefault="00030543" w:rsidP="00030543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03054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Al final del proyecto el universo de programas sociales en México es conocido por la ciudadanía, la población beneficiaria, 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Pr="0003054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las servidoras 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Pr="0003054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los servidores públicos de los tres órdenes de gobierno a partir de un sistema de información independiente y neutral que cuente con mecanismos técnicos, operativos y de gobierno. </w:t>
            </w:r>
          </w:p>
        </w:tc>
      </w:tr>
      <w:tr w:rsidR="00235F82" w:rsidRPr="009A2804" w:rsidTr="000B378B">
        <w:tc>
          <w:tcPr>
            <w:tcW w:w="2518" w:type="dxa"/>
          </w:tcPr>
          <w:p w:rsidR="00235F82" w:rsidRPr="009A2804" w:rsidRDefault="00235F82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Indicadores</w:t>
            </w:r>
          </w:p>
        </w:tc>
        <w:tc>
          <w:tcPr>
            <w:tcW w:w="1843" w:type="dxa"/>
          </w:tcPr>
          <w:p w:rsidR="00235F82" w:rsidRPr="009A2804" w:rsidRDefault="00235F82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Línea de base</w:t>
            </w:r>
          </w:p>
        </w:tc>
        <w:tc>
          <w:tcPr>
            <w:tcW w:w="2410" w:type="dxa"/>
          </w:tcPr>
          <w:p w:rsidR="00235F82" w:rsidRPr="009A2804" w:rsidRDefault="00235F82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Meta (general o anual)</w:t>
            </w:r>
          </w:p>
        </w:tc>
        <w:tc>
          <w:tcPr>
            <w:tcW w:w="2207" w:type="dxa"/>
          </w:tcPr>
          <w:p w:rsidR="00235F82" w:rsidRPr="009A2804" w:rsidRDefault="00235F82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Avances</w:t>
            </w:r>
          </w:p>
        </w:tc>
      </w:tr>
      <w:tr w:rsidR="00235F82" w:rsidRPr="009A2804" w:rsidTr="00B81A3A">
        <w:trPr>
          <w:trHeight w:val="992"/>
        </w:trPr>
        <w:tc>
          <w:tcPr>
            <w:tcW w:w="2518" w:type="dxa"/>
          </w:tcPr>
          <w:p w:rsidR="00235F82" w:rsidRDefault="004057AB" w:rsidP="00235F8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Número de programas sociales en IPRO</w:t>
            </w:r>
          </w:p>
          <w:p w:rsidR="004057AB" w:rsidRDefault="004057AB" w:rsidP="004057A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Número de programas y acciones de desarrollo social de otras iniciativas</w:t>
            </w:r>
          </w:p>
          <w:p w:rsidR="004057AB" w:rsidRPr="009A2804" w:rsidRDefault="004057AB" w:rsidP="00B7539C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</w:t>
            </w:r>
          </w:p>
        </w:tc>
        <w:tc>
          <w:tcPr>
            <w:tcW w:w="1843" w:type="dxa"/>
          </w:tcPr>
          <w:p w:rsidR="00235F82" w:rsidRPr="004057AB" w:rsidRDefault="004057AB" w:rsidP="004057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057A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Información de la base de datos de IPRO hasta 2011.</w:t>
            </w:r>
          </w:p>
          <w:p w:rsidR="004057AB" w:rsidRDefault="004057AB" w:rsidP="004057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057A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Experiencias de gobierno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y sociedad civil en la materia.</w:t>
            </w:r>
          </w:p>
          <w:p w:rsidR="004057AB" w:rsidRPr="004057AB" w:rsidRDefault="004057AB" w:rsidP="004057AB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235F82" w:rsidRPr="009A2804" w:rsidRDefault="00485792" w:rsidP="004857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Creación del C</w:t>
            </w:r>
            <w:r w:rsidR="004057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atálogo Nacional de Programas Sociales en operaci</w:t>
            </w:r>
            <w:r w:rsidR="00456A2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ón y en datos abiertos, </w:t>
            </w:r>
            <w:hyperlink r:id="rId8" w:history="1">
              <w:r w:rsidR="00456A20" w:rsidRPr="008957A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s-MX"/>
                </w:rPr>
                <w:t>www.programassociales.mx</w:t>
              </w:r>
            </w:hyperlink>
            <w:r w:rsidR="00456A2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207" w:type="dxa"/>
          </w:tcPr>
          <w:p w:rsidR="00235F82" w:rsidRDefault="00D765EA" w:rsidP="00D765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 creó e</w:t>
            </w:r>
            <w:r w:rsidRPr="00D765E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 Catálogo Nacional de Programas, Acciones e Intervenciones para el Desarrollo Social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como</w:t>
            </w:r>
            <w:r w:rsidRPr="00D765E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un sistema público gubernamental y ciudadano, independiente y neutral, que clasifica la información de los diferentes órdenes de gobierno de manera ordenada y de fácil acceso en formato de datos abiertos (open data).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Pr="00D765E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 esta forma se facilita el análisis y la comparación de datos para una mejor planeación, ejecución y evaluación de la Política Nacional de Desarrollo Social. Este sistema de información está dirigido a la ciudadanía, </w:t>
            </w:r>
            <w:r w:rsidRPr="00D765E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>a la población beneficiaria y a las y los servidores públicos.</w:t>
            </w:r>
          </w:p>
          <w:p w:rsidR="000F2EC4" w:rsidRPr="009A2804" w:rsidRDefault="000F2EC4" w:rsidP="00D765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 entregaron todos los productos a la Secretaría de Desarrollo Social (SEDESOL) de acuerdo al calendario establecido.</w:t>
            </w:r>
            <w:r w:rsidR="007531C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Se envió copia de los productos al PNUD México.</w:t>
            </w:r>
          </w:p>
        </w:tc>
      </w:tr>
      <w:tr w:rsidR="00235F82" w:rsidRPr="009A2804" w:rsidTr="00235F82">
        <w:tc>
          <w:tcPr>
            <w:tcW w:w="8978" w:type="dxa"/>
            <w:gridSpan w:val="4"/>
            <w:shd w:val="clear" w:color="auto" w:fill="FFFFFF" w:themeFill="background1"/>
          </w:tcPr>
          <w:p w:rsidR="00485792" w:rsidRDefault="00235F82" w:rsidP="00235F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>Descripción breve del logro anual:</w:t>
            </w:r>
            <w:r w:rsidR="00B7539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</w:p>
          <w:p w:rsidR="00485792" w:rsidRDefault="00485792" w:rsidP="00235F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8C32D9" w:rsidRDefault="00B7539C" w:rsidP="00235F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 completó el Catálogo Nacional de Programas, Acciones e Intervenciones para el Desarrollo Social</w:t>
            </w:r>
            <w:r w:rsidR="004B00B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. Es posible consultarlo en </w:t>
            </w:r>
            <w:hyperlink r:id="rId9" w:history="1">
              <w:r w:rsidR="008C32D9" w:rsidRPr="00DB1C3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s-MX"/>
                </w:rPr>
                <w:t>www.programassociales.mx</w:t>
              </w:r>
            </w:hyperlink>
            <w:r w:rsidR="004B00B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. </w:t>
            </w:r>
          </w:p>
          <w:p w:rsidR="008C32D9" w:rsidRDefault="008C32D9" w:rsidP="00235F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235F82" w:rsidRDefault="004B00B4" w:rsidP="00235F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</w:t>
            </w:r>
            <w:r w:rsidR="00D765EA" w:rsidRPr="00D765E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 una primera fase, el Catálogo se integra a partir de los inventarios del Consejo Nacional para la Evaluación de la Política de Desarrollo Social (CONEVAL) y de la base de datos la Iniciativa para el Fortalecimiento de la Institucionalidad de los Programas Sociales (IPRO) de Transparencia Mexicana y del Programa de las Naciones Unidas para el Desarrollo (PNUD). Dichas bases de datos incluyen información tanto de dependencias federales, como de entidades federativas.</w:t>
            </w:r>
          </w:p>
          <w:p w:rsidR="008C32D9" w:rsidRDefault="008C32D9" w:rsidP="00235F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8C32D9" w:rsidRDefault="008C32D9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C32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 fases subsiguientes, el Catálogo Nacional de Programas, Acciones e Intervenciones para el Desarrollo Social obtendrá y actualizará su información del año en curso a partir de convocatorias anuales en donde los tres órdenes de gobierno registren voluntariamente los programas, acciones e intervenciones para el desarrollo social y carguen documentación oficial para sustentar las respuestas. Adicionalmente, el sistema permanece abierto durante todo el año para fomentar la mejora continua y permitir la actualización constante de la información.</w:t>
            </w:r>
          </w:p>
          <w:p w:rsidR="008C32D9" w:rsidRPr="008C32D9" w:rsidRDefault="008C32D9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8C32D9" w:rsidRDefault="008C32D9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C32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La captura de información se hace de manera voluntaria y descentralizada por parte de las y los responsables de los programas, acciones e intervenciones para el desarrollo social a través de un formulario dinámico en línea, es decir, bajo una lógica de colaboración descentralizada o lógica de colaboración wiki.</w:t>
            </w:r>
          </w:p>
          <w:p w:rsidR="007531CA" w:rsidRDefault="007531CA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7531CA" w:rsidRDefault="007531CA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531C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Asimismo, se ha mantenido un diálogo abierto con otras dependencias de gobierno, organizaciones de la sociedad civil, instituciones académicas, centros de investigación privados y organismos internacionales. Esto con la finalidad de reunir en una plataforma única los diversos esfuerzos de sistematización de información del universo de programas, acciones e intervenciones para el desarrollo social de los tres órdenes de gobierno.</w:t>
            </w:r>
          </w:p>
          <w:p w:rsidR="00F2146E" w:rsidRDefault="00F2146E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F2146E" w:rsidRDefault="00F2146E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 entregaron los siguientes productos a la Secretaría de Desarrollo Social:</w:t>
            </w:r>
          </w:p>
          <w:p w:rsidR="00F2146E" w:rsidRDefault="00F2146E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F2146E" w:rsidRPr="008A71E9" w:rsidRDefault="00F2146E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Documento del modelo desarrollado por parte del equipo del Catálogo y minutas de reuniones/talleres llevados a cabo para la negociación del modelo. En este documento se plasmarán los mecanismos técnicos, operativos y de gobierno para que el Catálogo sea viable y sostenible.</w:t>
            </w:r>
          </w:p>
          <w:p w:rsidR="00F2146E" w:rsidRPr="008A71E9" w:rsidRDefault="00F2146E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Documento de conclusiones y acuerdos del Seminario (Memoria) fotos, lista de participantes.</w:t>
            </w:r>
          </w:p>
          <w:p w:rsidR="008A71E9" w:rsidRPr="008A71E9" w:rsidRDefault="008A71E9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Documento con conclusiones y acuerdos de reuniones y lista de asistentes.</w:t>
            </w:r>
          </w:p>
          <w:p w:rsidR="008A71E9" w:rsidRPr="008A71E9" w:rsidRDefault="008A71E9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Documento del Modelo de interconectividad de bases de datos.</w:t>
            </w:r>
          </w:p>
          <w:p w:rsidR="008A71E9" w:rsidRDefault="008A71E9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Informe de los Programas sociales de dependencias federales y entidades federativas actualizados y revisados en IPRO.</w:t>
            </w:r>
          </w:p>
          <w:p w:rsidR="008A71E9" w:rsidRDefault="008A71E9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Base de datos de los programas sociales con información correcta y sustentada en el sistema de </w:t>
            </w: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>información.</w:t>
            </w:r>
          </w:p>
          <w:p w:rsidR="008A71E9" w:rsidRDefault="008A71E9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artas convocatoria a dependencias federales, entidades f</w:t>
            </w: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ederativas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para </w:t>
            </w: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la conformación del catálogo nacional</w:t>
            </w:r>
          </w:p>
          <w:p w:rsidR="008A71E9" w:rsidRDefault="008A71E9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Informe de validación de los programas sociales con información correcta y sustentada en el sistema de información y base de datos completa del Catálogo Nacional de Programas Sociales.</w:t>
            </w:r>
          </w:p>
          <w:p w:rsidR="008A71E9" w:rsidRDefault="008A71E9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A71E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Documento del Plan Estratégico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para el equipo de transición/nuevo gobierno</w:t>
            </w:r>
            <w:r w:rsidR="000B378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y minuta de la reunión.</w:t>
            </w:r>
          </w:p>
          <w:p w:rsidR="000B378B" w:rsidRPr="008A71E9" w:rsidRDefault="000B378B" w:rsidP="008A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Presentación pública del Catálogo en el Senado de la República el 5 de diciembre de 2012.</w:t>
            </w:r>
          </w:p>
          <w:p w:rsidR="008A71E9" w:rsidRPr="009A2804" w:rsidRDefault="008A71E9" w:rsidP="008C32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235F82" w:rsidRPr="00235F82" w:rsidRDefault="00235F82" w:rsidP="000B7F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</w:tc>
      </w:tr>
      <w:tr w:rsidR="000B7F3A" w:rsidRPr="009A2804">
        <w:tc>
          <w:tcPr>
            <w:tcW w:w="8978" w:type="dxa"/>
            <w:gridSpan w:val="4"/>
            <w:shd w:val="clear" w:color="auto" w:fill="595959"/>
          </w:tcPr>
          <w:p w:rsidR="00325FC9" w:rsidRPr="00235F82" w:rsidRDefault="00325FC9" w:rsidP="000B7F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325FC9" w:rsidRDefault="00325FC9" w:rsidP="00325FC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Resultado: 2/ Actividad: 1</w:t>
            </w:r>
            <w:r w:rsidR="00DE32CD" w:rsidRPr="009A280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 xml:space="preserve"> Proyecto de construcción de ciudadanía en planteles de educación media superior en el periodo electoral</w:t>
            </w:r>
            <w:r w:rsidR="000B7F3A" w:rsidRPr="009A280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 xml:space="preserve">. </w:t>
            </w:r>
          </w:p>
          <w:p w:rsidR="00325FC9" w:rsidRPr="00325FC9" w:rsidRDefault="00325FC9" w:rsidP="00325FC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325FC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>1)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Pr="00325FC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>Realizar un estudio diagnóstico acerca del conocimiento de los y las jóvenes de sus derechos político electores y los valores democráticos, a través de una encuesta en línea, convocando a todos los estudiantes de educación media superior del país a participar, por modalidades educativas.</w:t>
            </w:r>
          </w:p>
          <w:p w:rsidR="00325FC9" w:rsidRPr="00325FC9" w:rsidRDefault="00325FC9" w:rsidP="00325FC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>2)</w:t>
            </w:r>
            <w:r w:rsidRPr="00325FC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>Análisis</w:t>
            </w:r>
            <w:proofErr w:type="gramEnd"/>
            <w:r w:rsidRPr="00325FC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 xml:space="preserve"> de resultados y  recomendaciones de política pública.</w:t>
            </w:r>
          </w:p>
          <w:p w:rsidR="00AA4E4A" w:rsidRPr="00325FC9" w:rsidRDefault="00325FC9" w:rsidP="00325FC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325FC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>3)Formular</w:t>
            </w:r>
            <w:proofErr w:type="gramEnd"/>
            <w:r w:rsidRPr="00325FC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ar-SA"/>
              </w:rPr>
              <w:t xml:space="preserve"> la estrategia con base en los resultados.</w:t>
            </w:r>
          </w:p>
        </w:tc>
      </w:tr>
      <w:tr w:rsidR="00AA4E4A" w:rsidRPr="009A2804">
        <w:tc>
          <w:tcPr>
            <w:tcW w:w="8978" w:type="dxa"/>
            <w:gridSpan w:val="4"/>
          </w:tcPr>
          <w:p w:rsidR="00AA4E4A" w:rsidRPr="009A2804" w:rsidRDefault="00AA4E4A" w:rsidP="00DD09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Objetivo: </w:t>
            </w:r>
          </w:p>
          <w:p w:rsidR="009A2804" w:rsidRPr="009A2804" w:rsidRDefault="009A2804" w:rsidP="009A2804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A2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Identificar a la escuela como una instalación estratégica para el desarrollo de ciudadanía y democracia.</w:t>
            </w:r>
          </w:p>
          <w:p w:rsidR="009A2804" w:rsidRPr="009A2804" w:rsidRDefault="009A2804" w:rsidP="009A2804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A2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Contar con información de los planteles de educación media superior, que permita construir un índice para potenciar estrategias y acciones.</w:t>
            </w:r>
          </w:p>
          <w:p w:rsidR="009A2804" w:rsidRPr="009A2804" w:rsidRDefault="009A2804" w:rsidP="00DD09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4E4A" w:rsidRPr="009A2804">
        <w:tc>
          <w:tcPr>
            <w:tcW w:w="2518" w:type="dxa"/>
          </w:tcPr>
          <w:p w:rsidR="00AA4E4A" w:rsidRPr="009A2804" w:rsidRDefault="00AA4E4A" w:rsidP="00DE32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Indicadores</w:t>
            </w:r>
          </w:p>
        </w:tc>
        <w:tc>
          <w:tcPr>
            <w:tcW w:w="1843" w:type="dxa"/>
          </w:tcPr>
          <w:p w:rsidR="00AA4E4A" w:rsidRPr="009A2804" w:rsidRDefault="00AA4E4A" w:rsidP="00DE32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Línea de base</w:t>
            </w:r>
          </w:p>
        </w:tc>
        <w:tc>
          <w:tcPr>
            <w:tcW w:w="2410" w:type="dxa"/>
          </w:tcPr>
          <w:p w:rsidR="00AA4E4A" w:rsidRPr="009A2804" w:rsidRDefault="00AA4E4A" w:rsidP="00DE32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Meta (general o anual)</w:t>
            </w:r>
          </w:p>
        </w:tc>
        <w:tc>
          <w:tcPr>
            <w:tcW w:w="2207" w:type="dxa"/>
          </w:tcPr>
          <w:p w:rsidR="00AA4E4A" w:rsidRPr="009A2804" w:rsidRDefault="00AA4E4A" w:rsidP="00DE32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Avances</w:t>
            </w:r>
          </w:p>
        </w:tc>
      </w:tr>
      <w:tr w:rsidR="00AA4E4A" w:rsidRPr="009A2804">
        <w:trPr>
          <w:trHeight w:val="1417"/>
        </w:trPr>
        <w:tc>
          <w:tcPr>
            <w:tcW w:w="2518" w:type="dxa"/>
          </w:tcPr>
          <w:p w:rsidR="00DD0932" w:rsidRDefault="008273EC" w:rsidP="008273EC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Una e</w:t>
            </w:r>
            <w:r w:rsidR="00DE32CD"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strategia definida y aprobada</w:t>
            </w:r>
          </w:p>
          <w:p w:rsidR="008273EC" w:rsidRPr="008273EC" w:rsidRDefault="008273EC" w:rsidP="008273EC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Actividades planeadas </w:t>
            </w:r>
          </w:p>
        </w:tc>
        <w:tc>
          <w:tcPr>
            <w:tcW w:w="1843" w:type="dxa"/>
          </w:tcPr>
          <w:p w:rsidR="00AA4E4A" w:rsidRPr="009A2804" w:rsidRDefault="008273EC" w:rsidP="008273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cuenta con las actividades sobre las cartillas sobre lo que se vale y lo que no se vale en las escuelas</w:t>
            </w:r>
          </w:p>
        </w:tc>
        <w:tc>
          <w:tcPr>
            <w:tcW w:w="2410" w:type="dxa"/>
          </w:tcPr>
          <w:p w:rsidR="00AA4E4A" w:rsidRPr="009A2804" w:rsidRDefault="008273EC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Desarrollo de una actividad sobre jóvenes y valores democráticos, principalmente con el enfoque sobre valores del Con</w:t>
            </w:r>
            <w:r w:rsidR="003B797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truye-T</w:t>
            </w:r>
          </w:p>
        </w:tc>
        <w:tc>
          <w:tcPr>
            <w:tcW w:w="2207" w:type="dxa"/>
          </w:tcPr>
          <w:p w:rsidR="00AA4E4A" w:rsidRDefault="00E301E2" w:rsidP="0048579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 tuvieron varias reuniones con la Coordinación Nacional de Construye-T  en el PNUD y se decidió que las actividades se ajustaran al ciclo del Programa Construye-T.  </w:t>
            </w:r>
          </w:p>
          <w:p w:rsidR="00485792" w:rsidRPr="009A2804" w:rsidRDefault="00485792" w:rsidP="004F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definió con la Subsecretaría de Educación Media Superior</w:t>
            </w:r>
            <w:r w:rsidR="004F65CC">
              <w:rPr>
                <w:sz w:val="20"/>
                <w:szCs w:val="20"/>
                <w:lang w:val="es-MX"/>
              </w:rPr>
              <w:t xml:space="preserve"> y la Unidad de Gobernabilidad del PNUD México</w:t>
            </w:r>
            <w:r>
              <w:rPr>
                <w:sz w:val="20"/>
                <w:szCs w:val="20"/>
                <w:lang w:val="es-MX"/>
              </w:rPr>
              <w:t xml:space="preserve">, la elaboración y publicación de un libro sobre </w:t>
            </w:r>
            <w:r w:rsidR="004F65CC" w:rsidRPr="004F65CC">
              <w:rPr>
                <w:sz w:val="20"/>
                <w:szCs w:val="20"/>
                <w:lang w:val="es-MX"/>
              </w:rPr>
              <w:t xml:space="preserve">en donde se describen dos mecanismos para promover la transparencia y la rendición de cuentas en el ámbito escolar: el Proceso de Selección de Directores de Bachillerato, que es abierto y basado en el </w:t>
            </w:r>
            <w:r w:rsidR="004F65CC" w:rsidRPr="004F65CC">
              <w:rPr>
                <w:sz w:val="20"/>
                <w:szCs w:val="20"/>
                <w:lang w:val="es-MX"/>
              </w:rPr>
              <w:lastRenderedPageBreak/>
              <w:t>mérito, y las Jornadas de Transparencia y Rendición de Cuentas efectuadas en los planteles de Educación Media Superior.</w:t>
            </w:r>
          </w:p>
        </w:tc>
      </w:tr>
      <w:tr w:rsidR="00AA4E4A" w:rsidRPr="009A2804">
        <w:tc>
          <w:tcPr>
            <w:tcW w:w="8978" w:type="dxa"/>
            <w:gridSpan w:val="4"/>
          </w:tcPr>
          <w:p w:rsidR="00AA4E4A" w:rsidRDefault="00AA4E4A" w:rsidP="00186EAF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 xml:space="preserve">Descripción breve del logro anual: </w:t>
            </w:r>
          </w:p>
          <w:p w:rsidR="004F65CC" w:rsidRPr="009A2804" w:rsidRDefault="004F65CC" w:rsidP="00186EAF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4F65CC" w:rsidRPr="004F65CC" w:rsidRDefault="004F65CC" w:rsidP="004F65CC">
            <w:pPr>
              <w:pStyle w:val="Prrafodelista1"/>
              <w:ind w:left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65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Transparencia Mexicana, el Programa de Naciones Unidas para el Desarrollo (PNUD) y la Secretaría de Educación Pública (SEP), a través de la Subsecretaría de Educación Media Superior (SEMS), presentaron una publicación en donde se describen dos mecanismos para promover la transparencia y la rendición de cuentas en el ámbito escolar: el Proceso de Selección de Directores de Bachillerato, que es abierto y basado en el mérito, y las Jornadas de Transparencia y Rendición de Cuentas efectuadas en los planteles de Educación Media Superior.</w:t>
            </w:r>
          </w:p>
          <w:p w:rsidR="004F65CC" w:rsidRPr="004F65CC" w:rsidRDefault="004F65CC" w:rsidP="004F65CC">
            <w:pPr>
              <w:pStyle w:val="Prrafodelista1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65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:rsidR="004F65CC" w:rsidRPr="004F65CC" w:rsidRDefault="004F65CC" w:rsidP="004F65CC">
            <w:pPr>
              <w:pStyle w:val="Prrafodelista1"/>
              <w:ind w:left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65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El libro da cuenta del impacto positivo de ambos mecanismos en la vida institucional y política de las escuelas de nivel medio superior, pues han permitido abrir las escuelas a la sociedad y hacer de la transparencia y la rendición de cuentas una práctica común.</w:t>
            </w:r>
          </w:p>
          <w:p w:rsidR="004F65CC" w:rsidRPr="004F65CC" w:rsidRDefault="004F65CC" w:rsidP="004F65CC">
            <w:pPr>
              <w:pStyle w:val="Prrafodelista1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65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:rsidR="00235F82" w:rsidRDefault="004F65CC" w:rsidP="004F65CC">
            <w:pPr>
              <w:pStyle w:val="Prrafodelista1"/>
              <w:ind w:left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65C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Partiendo de la idea de que la escuela es un lugar idóneo para promover valores como la participación social, la transparencia y la rendición de cuentas, la implementación de estos mecanismos democráticos ha sido importante pues permiten a la ciudadanía involucrarse en procesos de control y toma de decisiones en el ámbito escolar.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(</w:t>
            </w:r>
            <w:hyperlink r:id="rId10" w:history="1">
              <w:r w:rsidRPr="00DB1C3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ar-SA"/>
                </w:rPr>
                <w:t>http://sems.gob.mx/es/sems/transparencia_mexicana_pnud_sep_presentan_libro_sobre_transparencia_rendicion_cuentas_ems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br/>
            </w:r>
          </w:p>
          <w:p w:rsidR="00235F82" w:rsidRDefault="00235F82" w:rsidP="008273EC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CA0AFB" w:rsidRPr="00A47154" w:rsidRDefault="004F65CC" w:rsidP="00A47154">
            <w:pPr>
              <w:spacing w:after="24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Se entregaron las publicaciones a la Subsecretaría de Educación Media Superior y la versión electrónica se puede consultar en: </w:t>
            </w:r>
            <w:hyperlink r:id="rId11" w:history="1">
              <w:r w:rsidR="00CA0AFB" w:rsidRPr="008957A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ar-SA"/>
                </w:rPr>
                <w:t>http://www.tm.org.mx/transparencia-y-rendicion-de-cuentas-en-la-educacion-media-superior/</w:t>
              </w:r>
            </w:hyperlink>
          </w:p>
        </w:tc>
      </w:tr>
      <w:tr w:rsidR="00DE32CD" w:rsidRPr="009A2804" w:rsidTr="000B378B">
        <w:tc>
          <w:tcPr>
            <w:tcW w:w="8978" w:type="dxa"/>
            <w:gridSpan w:val="4"/>
            <w:shd w:val="clear" w:color="auto" w:fill="595959"/>
          </w:tcPr>
          <w:p w:rsidR="00562CB4" w:rsidRPr="00562CB4" w:rsidRDefault="00CA0AFB" w:rsidP="00562CB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</w:t>
            </w:r>
            <w:r w:rsidR="00DE32CD"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esultado</w:t>
            </w:r>
            <w:r w:rsidR="000B7F3A"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2</w:t>
            </w:r>
            <w:r w:rsidR="00562C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/Actividad 2. </w:t>
            </w:r>
            <w:r w:rsidR="00562CB4" w:rsidRPr="00562CB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>Sistema de información y monitoreo para la apropiación del programa en las escuelas.</w:t>
            </w:r>
          </w:p>
          <w:p w:rsidR="00562CB4" w:rsidRPr="00562CB4" w:rsidRDefault="00562CB4" w:rsidP="00562CB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</w:pPr>
            <w:r w:rsidRPr="00562CB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>1)</w:t>
            </w:r>
            <w:r w:rsidRPr="00562CB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ab/>
              <w:t>Diseñar un sistema de información y monitoreo del programa Construye T, con una plataforma de información en línea que produzca indicadores que permitan medir el nivel de apropiación del Programa en las escuelas.</w:t>
            </w:r>
          </w:p>
          <w:p w:rsidR="00DE32CD" w:rsidRPr="00562CB4" w:rsidRDefault="00562CB4" w:rsidP="00562C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2CB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>2)</w:t>
            </w:r>
            <w:r w:rsidRPr="00562CB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ab/>
              <w:t xml:space="preserve">Desarrollo de una aplicación para dispositivos móviles (herramienta ciudadana 2.0), .para que los estudiantes de educación media superior accedan a información relevante de </w:t>
            </w:r>
            <w:proofErr w:type="spellStart"/>
            <w:r w:rsidRPr="00562CB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>ConstruyeT</w:t>
            </w:r>
            <w:proofErr w:type="spellEnd"/>
            <w:r w:rsidRPr="00562CB4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" w:eastAsia="es-MX"/>
              </w:rPr>
              <w:t>.</w:t>
            </w:r>
          </w:p>
        </w:tc>
      </w:tr>
      <w:tr w:rsidR="00DE32CD" w:rsidRPr="009A2804" w:rsidTr="000B378B">
        <w:tc>
          <w:tcPr>
            <w:tcW w:w="8978" w:type="dxa"/>
            <w:gridSpan w:val="4"/>
          </w:tcPr>
          <w:p w:rsidR="00DE32CD" w:rsidRPr="009A2804" w:rsidRDefault="00DE32CD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Objetivo: </w:t>
            </w:r>
          </w:p>
          <w:p w:rsidR="009A2804" w:rsidRPr="009A2804" w:rsidRDefault="009A2804" w:rsidP="009A2804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A2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Identificar a la escuela como una instalación estratégica para el desarrollo de ciudadanía y democracia.</w:t>
            </w:r>
          </w:p>
          <w:p w:rsidR="009A2804" w:rsidRPr="009A2804" w:rsidRDefault="009A2804" w:rsidP="009A2804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A2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Contar con información de los planteles de educación media superior, que permita construir un índice para potenciar estrategias y acciones.</w:t>
            </w:r>
          </w:p>
          <w:p w:rsidR="009A2804" w:rsidRPr="009A2804" w:rsidRDefault="009A2804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2CD" w:rsidRPr="009A2804" w:rsidTr="000B378B">
        <w:tc>
          <w:tcPr>
            <w:tcW w:w="2518" w:type="dxa"/>
          </w:tcPr>
          <w:p w:rsidR="00DE32CD" w:rsidRPr="009A2804" w:rsidRDefault="00DE32CD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Indicadores</w:t>
            </w:r>
          </w:p>
        </w:tc>
        <w:tc>
          <w:tcPr>
            <w:tcW w:w="1843" w:type="dxa"/>
          </w:tcPr>
          <w:p w:rsidR="00DE32CD" w:rsidRPr="009A2804" w:rsidRDefault="00DE32CD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Línea de base</w:t>
            </w:r>
          </w:p>
        </w:tc>
        <w:tc>
          <w:tcPr>
            <w:tcW w:w="2410" w:type="dxa"/>
          </w:tcPr>
          <w:p w:rsidR="00DE32CD" w:rsidRPr="009A2804" w:rsidRDefault="00DE32CD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Meta (general o anual)</w:t>
            </w:r>
          </w:p>
        </w:tc>
        <w:tc>
          <w:tcPr>
            <w:tcW w:w="2207" w:type="dxa"/>
          </w:tcPr>
          <w:p w:rsidR="00DE32CD" w:rsidRPr="009A2804" w:rsidRDefault="00DE32CD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Avances</w:t>
            </w:r>
          </w:p>
        </w:tc>
      </w:tr>
      <w:tr w:rsidR="00DE32CD" w:rsidRPr="009A2804" w:rsidTr="000B378B">
        <w:trPr>
          <w:trHeight w:val="1417"/>
        </w:trPr>
        <w:tc>
          <w:tcPr>
            <w:tcW w:w="2518" w:type="dxa"/>
          </w:tcPr>
          <w:p w:rsidR="0064316B" w:rsidRPr="009A2804" w:rsidRDefault="0064316B" w:rsidP="0064316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Una Estrategia definida y aprobada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con el área de monitoreo y evaluación de Construye-T</w:t>
            </w:r>
          </w:p>
          <w:p w:rsidR="0064316B" w:rsidRPr="009A2804" w:rsidRDefault="008E2240" w:rsidP="0064316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Plataforma de información en línea </w:t>
            </w:r>
            <w:r w:rsidR="00871BD1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para el sistema de monitoreo y evaluación</w:t>
            </w:r>
          </w:p>
          <w:p w:rsidR="00DE32CD" w:rsidRPr="009A2804" w:rsidRDefault="00DE32CD" w:rsidP="0064316B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</w:tc>
        <w:tc>
          <w:tcPr>
            <w:tcW w:w="1843" w:type="dxa"/>
          </w:tcPr>
          <w:p w:rsidR="00DE32CD" w:rsidRPr="009A2804" w:rsidRDefault="00871BD1" w:rsidP="00DE32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 xml:space="preserve">Sistema de Monitoreo  y Evaluación del programa Construye-T, hasta ahora en formatos en Word y Excel </w:t>
            </w:r>
          </w:p>
          <w:p w:rsidR="00DE32CD" w:rsidRPr="009A2804" w:rsidRDefault="00DE32CD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DE32CD" w:rsidRPr="009A2804" w:rsidRDefault="008E5F07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 xml:space="preserve">Contar con el diseño de la plataforma de información para tener en web el sistema de monitoreo y evaluación vigente a fin de tenerlo listo para el ciclo escolar del primer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semestre de 2012.</w:t>
            </w:r>
          </w:p>
        </w:tc>
        <w:tc>
          <w:tcPr>
            <w:tcW w:w="2207" w:type="dxa"/>
          </w:tcPr>
          <w:p w:rsidR="00DE32CD" w:rsidRPr="009A2804" w:rsidRDefault="002A2F03" w:rsidP="00A22E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 xml:space="preserve">Se decidió cancelar el sistema de información en una reunión entre la Coordinación de Construye-t, la Unidad de Gobernabilidad Democrática y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 xml:space="preserve">Transparencia Mexicana para enfocarse en una </w:t>
            </w:r>
            <w:r w:rsidR="007D7C25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sola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publicación.</w:t>
            </w:r>
          </w:p>
        </w:tc>
      </w:tr>
      <w:tr w:rsidR="00DE32CD" w:rsidRPr="009A2804" w:rsidTr="000B378B">
        <w:tc>
          <w:tcPr>
            <w:tcW w:w="8978" w:type="dxa"/>
            <w:gridSpan w:val="4"/>
          </w:tcPr>
          <w:p w:rsidR="00DE32CD" w:rsidRPr="009A2804" w:rsidRDefault="00DE32CD" w:rsidP="0081381E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 xml:space="preserve">Descripción breve del logro anual: </w:t>
            </w:r>
          </w:p>
          <w:p w:rsidR="007D7C25" w:rsidRDefault="002A2F03" w:rsidP="002A2F03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Se enfocaron las actividades planteadas en el componente SEP hacia una publicación que exprese la colaboraci</w:t>
            </w:r>
            <w:r w:rsidR="007D7C2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ón entre las tres instituciones, la cual se entregó a la Subsecretaría de Educación Media Superior: </w:t>
            </w:r>
            <w:hyperlink r:id="rId12" w:history="1">
              <w:r w:rsidR="00F34349" w:rsidRPr="008957A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ar-SA"/>
                </w:rPr>
                <w:t>http://www.tm.org.mx/transparencia-y-rendicion-de-cuentas-en-la-educacion-media-superior/</w:t>
              </w:r>
            </w:hyperlink>
          </w:p>
          <w:p w:rsidR="00DE32CD" w:rsidRPr="009A2804" w:rsidRDefault="007D7C25" w:rsidP="002A2F03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23DAF" w:rsidRPr="00562CB4" w:rsidTr="00B81A3A">
        <w:tc>
          <w:tcPr>
            <w:tcW w:w="8978" w:type="dxa"/>
            <w:gridSpan w:val="4"/>
            <w:shd w:val="clear" w:color="auto" w:fill="595959"/>
          </w:tcPr>
          <w:p w:rsidR="00823DAF" w:rsidRPr="00823DAF" w:rsidRDefault="00823DAF" w:rsidP="00823D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br w:type="page"/>
            </w:r>
            <w:r w:rsidRPr="009A280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Resultado2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/Actividad 3. </w:t>
            </w: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Diseño de una herramienta y recomendaciones que mejoren la institucionalidad, la transparencia y la rendición de cuentas del Programa </w:t>
            </w:r>
            <w:proofErr w:type="spellStart"/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ConstruyeT</w:t>
            </w:r>
            <w:proofErr w:type="spellEnd"/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.</w:t>
            </w:r>
          </w:p>
          <w:p w:rsidR="00823DAF" w:rsidRPr="00823DAF" w:rsidRDefault="00823DAF" w:rsidP="00823D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1)</w:t>
            </w: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ab/>
              <w:t xml:space="preserve">Generar una herramienta autodiagnóstico  con atributos mínimos de institucionalidad, que permita conocer el grado de institucionalidad, transparencia y rendición de cuentas del Programa </w:t>
            </w:r>
            <w:proofErr w:type="spellStart"/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ConstruyeT</w:t>
            </w:r>
            <w:proofErr w:type="spellEnd"/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, para cumplir con los marcos legales.</w:t>
            </w:r>
          </w:p>
          <w:p w:rsidR="00823DAF" w:rsidRPr="00823DAF" w:rsidRDefault="00823DAF" w:rsidP="00823D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2)</w:t>
            </w: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ab/>
              <w:t xml:space="preserve">Emitir recomendaciones para el mejoramiento de la institucionalidad, la transparencia y la rendición de cuentas del Programa </w:t>
            </w:r>
            <w:proofErr w:type="spellStart"/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ConstruyeT</w:t>
            </w:r>
            <w:proofErr w:type="spellEnd"/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.</w:t>
            </w:r>
          </w:p>
          <w:p w:rsidR="00823DAF" w:rsidRPr="00823DAF" w:rsidRDefault="00823DAF" w:rsidP="00823D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3)</w:t>
            </w: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ab/>
              <w:t>Incorporar la herramienta en la plataforma de información.</w:t>
            </w:r>
          </w:p>
          <w:p w:rsidR="00823DAF" w:rsidRPr="00823DAF" w:rsidRDefault="00823DAF" w:rsidP="000B378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</w:tc>
      </w:tr>
      <w:tr w:rsidR="00823DAF" w:rsidRPr="009A2804" w:rsidTr="00B81A3A">
        <w:tc>
          <w:tcPr>
            <w:tcW w:w="8978" w:type="dxa"/>
            <w:gridSpan w:val="4"/>
            <w:shd w:val="clear" w:color="auto" w:fill="595959"/>
          </w:tcPr>
          <w:p w:rsidR="00823DAF" w:rsidRPr="00823DAF" w:rsidRDefault="00823DAF" w:rsidP="00823D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Objetivo: </w:t>
            </w:r>
          </w:p>
          <w:p w:rsidR="00823DAF" w:rsidRPr="00823DAF" w:rsidRDefault="00823DAF" w:rsidP="000B378B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Identificar a la escuela como una instalación estratégica para el desarrollo de ciudadanía y democracia.</w:t>
            </w:r>
          </w:p>
          <w:p w:rsidR="00823DAF" w:rsidRPr="00823DAF" w:rsidRDefault="00823DAF" w:rsidP="000B378B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823D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Contar con información de los planteles de educación media superior, que permita construir un índice para potenciar estrategias y acciones.</w:t>
            </w:r>
          </w:p>
          <w:p w:rsidR="00823DAF" w:rsidRPr="00823DAF" w:rsidRDefault="00823DAF" w:rsidP="00823D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</w:tc>
      </w:tr>
      <w:tr w:rsidR="00823DAF" w:rsidRPr="009A2804" w:rsidTr="000B378B">
        <w:tc>
          <w:tcPr>
            <w:tcW w:w="2518" w:type="dxa"/>
          </w:tcPr>
          <w:p w:rsidR="00823DAF" w:rsidRPr="009A2804" w:rsidRDefault="00823DAF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Indicadores</w:t>
            </w:r>
          </w:p>
        </w:tc>
        <w:tc>
          <w:tcPr>
            <w:tcW w:w="1843" w:type="dxa"/>
          </w:tcPr>
          <w:p w:rsidR="00823DAF" w:rsidRPr="009A2804" w:rsidRDefault="00823DAF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Línea de base</w:t>
            </w:r>
          </w:p>
        </w:tc>
        <w:tc>
          <w:tcPr>
            <w:tcW w:w="2410" w:type="dxa"/>
          </w:tcPr>
          <w:p w:rsidR="00823DAF" w:rsidRPr="009A2804" w:rsidRDefault="00823DAF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Meta (general o anual)</w:t>
            </w:r>
          </w:p>
        </w:tc>
        <w:tc>
          <w:tcPr>
            <w:tcW w:w="2207" w:type="dxa"/>
          </w:tcPr>
          <w:p w:rsidR="00823DAF" w:rsidRPr="009A2804" w:rsidRDefault="00823DAF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Avances</w:t>
            </w:r>
          </w:p>
        </w:tc>
      </w:tr>
      <w:tr w:rsidR="00823DAF" w:rsidRPr="009A2804" w:rsidTr="000B378B">
        <w:trPr>
          <w:trHeight w:val="1417"/>
        </w:trPr>
        <w:tc>
          <w:tcPr>
            <w:tcW w:w="2518" w:type="dxa"/>
          </w:tcPr>
          <w:p w:rsidR="00823DAF" w:rsidRDefault="00823DAF" w:rsidP="000B378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Una Estrategia definida y aprobada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con el Área de Gobernabilidad Democrática y con la Coordinación Nacional de Construye-T.</w:t>
            </w:r>
          </w:p>
          <w:p w:rsidR="006A2254" w:rsidRPr="009A2804" w:rsidRDefault="006A2254" w:rsidP="000B378B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Avance en el documento de institucionalidad de Construye-T.</w:t>
            </w:r>
          </w:p>
          <w:p w:rsidR="00823DAF" w:rsidRPr="009A2804" w:rsidRDefault="00823DAF" w:rsidP="006A2254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</w:tc>
        <w:tc>
          <w:tcPr>
            <w:tcW w:w="1843" w:type="dxa"/>
          </w:tcPr>
          <w:p w:rsidR="00823DAF" w:rsidRPr="009A2804" w:rsidRDefault="006A2254" w:rsidP="00823D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Herramienta de autodiagnóstico de IPRO.</w:t>
            </w:r>
          </w:p>
        </w:tc>
        <w:tc>
          <w:tcPr>
            <w:tcW w:w="2410" w:type="dxa"/>
          </w:tcPr>
          <w:p w:rsidR="00823DAF" w:rsidRPr="00823DAF" w:rsidRDefault="00823DAF" w:rsidP="00823D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  <w:p w:rsidR="00823DAF" w:rsidRPr="009A2804" w:rsidRDefault="00823DAF" w:rsidP="00823D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23DAF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Documento de análisis sobre el proceso de ins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titucionalización del Programa C</w:t>
            </w:r>
            <w:r w:rsidRPr="00823DAF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onstruye t.</w:t>
            </w:r>
          </w:p>
        </w:tc>
        <w:tc>
          <w:tcPr>
            <w:tcW w:w="2207" w:type="dxa"/>
          </w:tcPr>
          <w:p w:rsidR="00823DAF" w:rsidRPr="009A2804" w:rsidRDefault="00823DAF" w:rsidP="0035141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 llevaron reuniones con la Coordinación del Programa Construye-t y con el área de </w:t>
            </w:r>
            <w:r w:rsidR="00FC4D0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Gobernabilidad Democrática para acordar que el documento de recomendaciones se entregará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="00FC4D0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por parte de Transparencia Mexicana. Se comisionó un documento para contar con información sobre la in</w:t>
            </w:r>
            <w:r w:rsidR="00B14F3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stitucionalidad de Construye-T. Se decidió enfocar el componente SEP a la publicación sobre Transparencia y Rendición de Cuentas en la Subsecretaría de Educación Superior.</w:t>
            </w:r>
          </w:p>
        </w:tc>
      </w:tr>
      <w:tr w:rsidR="00823DAF" w:rsidRPr="009A2804" w:rsidTr="000B378B">
        <w:tc>
          <w:tcPr>
            <w:tcW w:w="8978" w:type="dxa"/>
            <w:gridSpan w:val="4"/>
          </w:tcPr>
          <w:p w:rsidR="00823DAF" w:rsidRPr="009A2804" w:rsidRDefault="00823DAF" w:rsidP="00B14F39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Descripción breve del logro anual: </w:t>
            </w:r>
            <w:r w:rsidR="00B14F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Se decidió enfocar el componente SEP a la publicación sobre Transparencia y Rendición de Cuentas en la Subsecretaría de Educación Media Superior en general y no sobre el Programa Construye-t. La publicación fue entregada a la Subsecretar</w:t>
            </w:r>
            <w:r w:rsidR="00F3434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ía y se encuentra en </w:t>
            </w:r>
            <w:hyperlink r:id="rId13" w:history="1">
              <w:r w:rsidR="00F34349" w:rsidRPr="008957A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ar-SA"/>
                </w:rPr>
                <w:t>http://www.tm.org.mx/transparencia-y-rendicion-de-cuentas-en-la-educacion-media-superior/</w:t>
              </w:r>
            </w:hyperlink>
          </w:p>
        </w:tc>
      </w:tr>
      <w:tr w:rsidR="00DB2EB7" w:rsidRPr="00235F82" w:rsidTr="00DB2EB7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DB2EB7" w:rsidRPr="00DB2EB7" w:rsidRDefault="00DB2EB7" w:rsidP="0039605D">
            <w:pPr>
              <w:pStyle w:val="Prrafodelista1"/>
              <w:ind w:left="0"/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</w:pPr>
            <w:r w:rsidRPr="00235F8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br w:type="page"/>
            </w:r>
            <w:r w:rsidRPr="00DB2EB7"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  <w:t>Resultado4/</w:t>
            </w:r>
            <w:r w:rsidR="00753DB2"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  <w:t xml:space="preserve"> </w:t>
            </w:r>
            <w:r w:rsidR="00D55EFB"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  <w:t xml:space="preserve"> I. - </w:t>
            </w:r>
            <w:r w:rsidRPr="00DB2EB7"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  <w:t xml:space="preserve">Actividad 1. </w:t>
            </w:r>
            <w:r w:rsidR="001E4936"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  <w:t>BOX sobre IPRO</w:t>
            </w:r>
          </w:p>
          <w:p w:rsidR="00456A20" w:rsidRPr="00DB2EB7" w:rsidRDefault="00456A20" w:rsidP="00456A20">
            <w:pPr>
              <w:pStyle w:val="Prrafodelista1"/>
              <w:ind w:left="0"/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</w:pPr>
            <w:r w:rsidRPr="00DB2EB7"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  <w:t>Resultado4/</w:t>
            </w:r>
            <w:r>
              <w:rPr>
                <w:rFonts w:asciiTheme="minorHAnsi" w:eastAsia="MS Mincho" w:hAnsiTheme="minorHAnsi" w:cstheme="minorHAnsi"/>
                <w:b/>
                <w:color w:val="FFFFFF" w:themeColor="background1"/>
                <w:sz w:val="20"/>
                <w:szCs w:val="20"/>
                <w:lang w:val="es-MX" w:eastAsia="ja-JP"/>
              </w:rPr>
              <w:t xml:space="preserve"> II - Diseño y Elaboración del BOX sobre ODM</w:t>
            </w:r>
          </w:p>
          <w:p w:rsidR="00456A20" w:rsidRDefault="00456A20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710C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Resultado4/ II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I</w:t>
            </w:r>
            <w:r w:rsidRPr="00710C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- </w:t>
            </w:r>
            <w:r w:rsidRPr="00F646A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Diseño y elaboración del BOX sobr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e vinculación de programas socia</w:t>
            </w:r>
            <w:r w:rsidRPr="00F646A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les con ODM</w:t>
            </w:r>
          </w:p>
          <w:p w:rsidR="00753DB2" w:rsidRPr="00B818B4" w:rsidRDefault="00753DB2" w:rsidP="00753D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B818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1. Elaboración y procesamiento de variables, indicadores y estándares para cruzar las políticas sociales y las estrategias para alcanzar la agenda de los ODM.</w:t>
            </w:r>
          </w:p>
          <w:p w:rsidR="00753DB2" w:rsidRPr="00B818B4" w:rsidRDefault="00753DB2" w:rsidP="00753D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B818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2. Desarrollo de un cuestionario de auto diagnóstico que se enviará a las 32 entidades federativas</w:t>
            </w:r>
          </w:p>
          <w:p w:rsidR="00753DB2" w:rsidRDefault="00753DB2" w:rsidP="00753D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B818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3. Análisis de los resultados y documento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de cierre analítico.</w:t>
            </w:r>
          </w:p>
          <w:p w:rsidR="00753DB2" w:rsidRPr="00710C73" w:rsidRDefault="00753DB2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  <w:p w:rsidR="00456A20" w:rsidRDefault="00456A20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B818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Resultado4/</w:t>
            </w:r>
            <w:r w:rsidR="00753DB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IV</w:t>
            </w:r>
            <w:r w:rsidRPr="00B818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–</w:t>
            </w:r>
            <w:r w:rsidRPr="00B818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Informe La  institucionalidad de la política social y los ODM </w:t>
            </w:r>
          </w:p>
          <w:p w:rsidR="00456A20" w:rsidRDefault="00456A20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B818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Actividad 1.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Pr="003B173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Redacción del Informe</w:t>
            </w:r>
          </w:p>
          <w:p w:rsidR="00456A20" w:rsidRDefault="00456A20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Actividad 2. </w:t>
            </w:r>
            <w:r w:rsidRPr="003B173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Recopilar y procesar información sobre desarrollo social por estado</w:t>
            </w:r>
          </w:p>
          <w:p w:rsidR="00456A20" w:rsidRDefault="00456A20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Actividad 3. </w:t>
            </w:r>
            <w:r w:rsidRPr="003B173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Recopilar y procesar los 32 BOX de IPRO y 32 de vinculación</w:t>
            </w:r>
          </w:p>
          <w:p w:rsidR="00456A20" w:rsidRDefault="00456A20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 xml:space="preserve">Actividad 4. </w:t>
            </w:r>
            <w:r w:rsidRPr="003B173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  <w:t>Incorporación y procesamiento de variables de México Estatal</w:t>
            </w:r>
          </w:p>
          <w:p w:rsidR="00456A20" w:rsidRPr="00456A20" w:rsidRDefault="00456A20" w:rsidP="00456A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</w:tc>
      </w:tr>
      <w:tr w:rsidR="00DB2EB7" w:rsidRPr="00235F82" w:rsidTr="00DB2EB7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B7" w:rsidRPr="00235F82" w:rsidRDefault="00DB2EB7" w:rsidP="00DB2EB7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5F8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Objetivo: </w:t>
            </w:r>
          </w:p>
          <w:p w:rsidR="00DB2EB7" w:rsidRDefault="00DB2EB7" w:rsidP="000B378B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ES"/>
              </w:rPr>
              <w:t>Mejorar los niveles de institucionalidad de los programas sociales de la entidad.</w:t>
            </w:r>
          </w:p>
          <w:p w:rsidR="00DB2EB7" w:rsidRDefault="00DB2EB7" w:rsidP="000B378B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ES"/>
              </w:rPr>
              <w:t xml:space="preserve">Aportar recomendaciones de dos programas sociales </w:t>
            </w:r>
          </w:p>
          <w:p w:rsidR="00DB2EB7" w:rsidRPr="00235F82" w:rsidRDefault="00DB2EB7" w:rsidP="000B378B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ES"/>
              </w:rPr>
              <w:t>Analizar la vinculación de los programas sociales con los ODM.</w:t>
            </w:r>
          </w:p>
          <w:p w:rsidR="00DB2EB7" w:rsidRPr="00235F82" w:rsidRDefault="00DB2EB7" w:rsidP="00DB2EB7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B2EB7" w:rsidRPr="009A2804" w:rsidTr="000B378B">
        <w:tc>
          <w:tcPr>
            <w:tcW w:w="2518" w:type="dxa"/>
          </w:tcPr>
          <w:p w:rsidR="00DB2EB7" w:rsidRPr="009A2804" w:rsidRDefault="00DB2EB7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Indicadores</w:t>
            </w:r>
          </w:p>
        </w:tc>
        <w:tc>
          <w:tcPr>
            <w:tcW w:w="1843" w:type="dxa"/>
          </w:tcPr>
          <w:p w:rsidR="00DB2EB7" w:rsidRPr="009A2804" w:rsidRDefault="00DB2EB7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Línea de base</w:t>
            </w:r>
          </w:p>
        </w:tc>
        <w:tc>
          <w:tcPr>
            <w:tcW w:w="2410" w:type="dxa"/>
          </w:tcPr>
          <w:p w:rsidR="00DB2EB7" w:rsidRPr="009A2804" w:rsidRDefault="00DB2EB7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Meta (general o anual)</w:t>
            </w:r>
          </w:p>
        </w:tc>
        <w:tc>
          <w:tcPr>
            <w:tcW w:w="2207" w:type="dxa"/>
          </w:tcPr>
          <w:p w:rsidR="00DB2EB7" w:rsidRPr="009A2804" w:rsidRDefault="00DB2EB7" w:rsidP="000B37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Avances</w:t>
            </w:r>
          </w:p>
        </w:tc>
      </w:tr>
      <w:tr w:rsidR="00DB2EB7" w:rsidRPr="009A2804" w:rsidTr="000B378B">
        <w:trPr>
          <w:trHeight w:val="1417"/>
        </w:trPr>
        <w:tc>
          <w:tcPr>
            <w:tcW w:w="2518" w:type="dxa"/>
          </w:tcPr>
          <w:p w:rsidR="00BE199C" w:rsidRPr="00BE199C" w:rsidRDefault="00BE199C" w:rsidP="00BE199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BE199C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Número de programas sociales registrados en IPRO</w:t>
            </w:r>
          </w:p>
          <w:p w:rsidR="00DB2EB7" w:rsidRPr="00753DB2" w:rsidRDefault="00BE199C" w:rsidP="00BE19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BE199C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Grado de institucionalidad de los programas sociales</w:t>
            </w:r>
            <w:r w:rsidRPr="00BE199C">
              <w:rPr>
                <w:rFonts w:ascii="Myriad Pro" w:hAnsi="Myriad Pro" w:cs="Arial"/>
              </w:rPr>
              <w:t xml:space="preserve"> </w:t>
            </w:r>
          </w:p>
          <w:p w:rsidR="00753DB2" w:rsidRDefault="00753DB2" w:rsidP="00BE19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3107D9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Porcentaje de avance en el cumplimiento de cada ODM</w:t>
            </w:r>
          </w:p>
          <w:p w:rsidR="00753DB2" w:rsidRPr="007251EA" w:rsidRDefault="00753DB2" w:rsidP="00753DB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7251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Porcentaje de programas sociales IPRO vinculados a cada ODM </w:t>
            </w:r>
          </w:p>
          <w:p w:rsidR="00753DB2" w:rsidRPr="007251EA" w:rsidRDefault="00753DB2" w:rsidP="00753DB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7251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Grado de alineación de los programas sociales con ODM</w:t>
            </w:r>
          </w:p>
          <w:p w:rsidR="00753DB2" w:rsidRPr="007251EA" w:rsidRDefault="00753DB2" w:rsidP="00753DB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7251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Grado de institucionalidad de los programas sociales IPRO </w:t>
            </w:r>
          </w:p>
          <w:p w:rsidR="00753DB2" w:rsidRPr="00BE199C" w:rsidRDefault="00753DB2" w:rsidP="00BE19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</w:tc>
        <w:tc>
          <w:tcPr>
            <w:tcW w:w="1843" w:type="dxa"/>
          </w:tcPr>
          <w:p w:rsidR="00DB2EB7" w:rsidRDefault="00BE199C" w:rsidP="000B378B">
            <w:pPr>
              <w:spacing w:after="0" w:line="240" w:lineRule="auto"/>
              <w:rPr>
                <w:rFonts w:ascii="Myriad Pro" w:hAnsi="Myriad Pro" w:cs="Arial"/>
              </w:rPr>
            </w:pPr>
            <w:r w:rsidRPr="00BE199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cuenta con la información desagregada por entidad federativa en el portal de IPRO.</w:t>
            </w:r>
            <w:r w:rsidRPr="00C77A11">
              <w:rPr>
                <w:rFonts w:ascii="Myriad Pro" w:hAnsi="Myriad Pro" w:cs="Arial"/>
              </w:rPr>
              <w:t xml:space="preserve"> </w:t>
            </w:r>
          </w:p>
          <w:p w:rsidR="00753DB2" w:rsidRDefault="00753DB2" w:rsidP="000B378B">
            <w:pPr>
              <w:spacing w:after="0" w:line="240" w:lineRule="auto"/>
              <w:rPr>
                <w:rFonts w:ascii="Myriad Pro" w:hAnsi="Myriad Pro" w:cs="Arial"/>
              </w:rPr>
            </w:pPr>
          </w:p>
          <w:p w:rsidR="00753DB2" w:rsidRDefault="00753DB2" w:rsidP="00753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7251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A través de la plataforma electrónica de IPRO es posible ver los programas sociales reportados de cada entidad por ODM, así como su grado de 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i</w:t>
            </w:r>
            <w:r w:rsidRPr="007251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nstitucionalidad. </w:t>
            </w:r>
          </w:p>
          <w:p w:rsidR="00753DB2" w:rsidRPr="007251EA" w:rsidRDefault="00753DB2" w:rsidP="00753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  <w:p w:rsidR="00753DB2" w:rsidRPr="009A2804" w:rsidRDefault="00753DB2" w:rsidP="00753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251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cuenta también con información sobre grado de avance estatal en el cumplimiento de algunas metas del milenio</w:t>
            </w:r>
          </w:p>
        </w:tc>
        <w:tc>
          <w:tcPr>
            <w:tcW w:w="2410" w:type="dxa"/>
          </w:tcPr>
          <w:p w:rsidR="00DB2EB7" w:rsidRDefault="007A42EA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7A42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Construir los 32 BOX que contengan la información</w:t>
            </w:r>
            <w:r w:rsidR="0039605D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de IPRO relativa a cada estado para los Dossiers de México Estatal.</w:t>
            </w:r>
          </w:p>
          <w:p w:rsidR="00753DB2" w:rsidRDefault="00753DB2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  <w:p w:rsidR="00753DB2" w:rsidRDefault="00753DB2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3107D9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Construir al menos una propuesta metodológica que con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tenga la información sobre ODM </w:t>
            </w:r>
            <w:r w:rsidRPr="003107D9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por estado</w:t>
            </w:r>
          </w:p>
          <w:p w:rsidR="00753DB2" w:rsidRDefault="00753DB2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  <w:p w:rsidR="00753DB2" w:rsidRPr="009A2804" w:rsidRDefault="00753DB2" w:rsidP="000B37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7251EA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Haber cruzado la información existente sobre cumplimiento estatal de ODM e institucionalidad de programas sociales y poder concentrarlo con claridad en el BOX sobre vinculación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.</w:t>
            </w:r>
          </w:p>
        </w:tc>
        <w:tc>
          <w:tcPr>
            <w:tcW w:w="2207" w:type="dxa"/>
          </w:tcPr>
          <w:p w:rsidR="00DB2EB7" w:rsidRDefault="007A42EA" w:rsidP="00B14F3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Durante el periodo del informe se entregaron al </w:t>
            </w:r>
            <w:r w:rsidR="00B14F39">
              <w:rPr>
                <w:sz w:val="20"/>
                <w:szCs w:val="20"/>
                <w:lang w:val="es-MX"/>
              </w:rPr>
              <w:t xml:space="preserve">CIDE la totalidad de BOXES </w:t>
            </w:r>
            <w:r w:rsidR="00C42BAE">
              <w:rPr>
                <w:sz w:val="20"/>
                <w:szCs w:val="20"/>
                <w:lang w:val="es-MX"/>
              </w:rPr>
              <w:t xml:space="preserve">sobre IPRO </w:t>
            </w:r>
            <w:r w:rsidR="00B14F39">
              <w:rPr>
                <w:sz w:val="20"/>
                <w:szCs w:val="20"/>
                <w:lang w:val="es-MX"/>
              </w:rPr>
              <w:t>para la publicación de los Dossiers de México Estatal.</w:t>
            </w:r>
            <w:r w:rsidR="0039605D">
              <w:rPr>
                <w:sz w:val="20"/>
                <w:szCs w:val="20"/>
                <w:lang w:val="es-MX"/>
              </w:rPr>
              <w:t xml:space="preserve"> </w:t>
            </w:r>
          </w:p>
          <w:p w:rsidR="00753DB2" w:rsidRDefault="00753DB2" w:rsidP="00B14F3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:rsidR="00753DB2" w:rsidRDefault="00753DB2" w:rsidP="00B14F3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Durante el periodo del informe se entregaron al CIDE la totalidad de los BOXES sobre ODM. Durante la convocatoria 2012, se volvió a solicitar el vínculo de los programas sociales federales y estatales con los Objetivos de Desarrollo del Milenio. En el Catálogo Nacional de Programas, Acciones e Intervenciones para el Desarrollo Social se colocó una sección por programa donde aparece el vínculo con los ODM correspondientes.</w:t>
            </w:r>
          </w:p>
          <w:p w:rsidR="00753DB2" w:rsidRDefault="00753DB2" w:rsidP="00B14F3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:rsidR="00753DB2" w:rsidRDefault="00753DB2" w:rsidP="00B14F3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Durante el periodo del informe se entregaron </w:t>
            </w:r>
            <w:r>
              <w:rPr>
                <w:sz w:val="20"/>
                <w:szCs w:val="20"/>
                <w:lang w:val="es-MX"/>
              </w:rPr>
              <w:lastRenderedPageBreak/>
              <w:t xml:space="preserve">al CIDE la totalidad de BOXES sobre la vinculación entre </w:t>
            </w:r>
            <w:proofErr w:type="spellStart"/>
            <w:r>
              <w:rPr>
                <w:sz w:val="20"/>
                <w:szCs w:val="20"/>
                <w:lang w:val="es-MX"/>
              </w:rPr>
              <w:t>ODMs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e institucionalidad  de los programas sociales</w:t>
            </w:r>
          </w:p>
          <w:p w:rsidR="00753DB2" w:rsidRDefault="00753DB2" w:rsidP="00B14F3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:rsidR="00753DB2" w:rsidRPr="009A2804" w:rsidRDefault="00753DB2" w:rsidP="00B14F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Durante el periodo del informe se elaboró el documento sobre la metodología y sobre la vinculación entre la institucionalidad de los programas sociales y los </w:t>
            </w:r>
            <w:proofErr w:type="spellStart"/>
            <w:r>
              <w:rPr>
                <w:sz w:val="20"/>
                <w:szCs w:val="20"/>
                <w:lang w:val="es-MX"/>
              </w:rPr>
              <w:t>ODMs</w:t>
            </w:r>
            <w:proofErr w:type="spellEnd"/>
            <w:r>
              <w:rPr>
                <w:sz w:val="20"/>
                <w:szCs w:val="20"/>
                <w:lang w:val="es-MX"/>
              </w:rPr>
              <w:t>. Se entregó al PNUD México.</w:t>
            </w:r>
          </w:p>
        </w:tc>
      </w:tr>
      <w:tr w:rsidR="00DB2EB7" w:rsidRPr="009A2804" w:rsidTr="000B378B">
        <w:tc>
          <w:tcPr>
            <w:tcW w:w="8978" w:type="dxa"/>
            <w:gridSpan w:val="4"/>
          </w:tcPr>
          <w:p w:rsidR="00DB2EB7" w:rsidRPr="009A2804" w:rsidRDefault="00DB2EB7" w:rsidP="000B378B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 xml:space="preserve">Descripción breve del logro anual: </w:t>
            </w:r>
          </w:p>
          <w:p w:rsidR="00DB2EB7" w:rsidRDefault="0039605D" w:rsidP="00B14F39">
            <w:pPr>
              <w:pStyle w:val="Prrafodelista1"/>
              <w:ind w:left="0"/>
              <w:jc w:val="both"/>
              <w:rPr>
                <w:rFonts w:ascii="Calibri" w:eastAsia="MS Mincho" w:hAnsi="Calibri"/>
                <w:sz w:val="20"/>
                <w:szCs w:val="20"/>
                <w:lang w:val="es-MX" w:eastAsia="ja-JP"/>
              </w:rPr>
            </w:pPr>
            <w:r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Se diseñaron y entregaron </w:t>
            </w:r>
            <w:r w:rsidR="00B14F39"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la totalidad de los </w:t>
            </w:r>
            <w:r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BOXES </w:t>
            </w:r>
            <w:r w:rsidR="00D55EFB"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>de IPRO</w:t>
            </w:r>
            <w:r w:rsidR="00456A20"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, </w:t>
            </w:r>
            <w:proofErr w:type="spellStart"/>
            <w:r w:rsidR="00456A20"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>ODMs</w:t>
            </w:r>
            <w:proofErr w:type="spellEnd"/>
            <w:r w:rsidR="00456A20"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 y vinculación </w:t>
            </w:r>
            <w:r w:rsidR="00D55EFB"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 </w:t>
            </w:r>
            <w:r w:rsidR="00B14F39"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al CIDE </w:t>
            </w:r>
            <w:r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 xml:space="preserve">para los Dossiers Estatales. </w:t>
            </w:r>
          </w:p>
          <w:p w:rsidR="00753DB2" w:rsidRPr="009A2804" w:rsidRDefault="00753DB2" w:rsidP="00753DB2">
            <w:pPr>
              <w:pStyle w:val="Prrafodelista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eastAsia="MS Mincho" w:hAnsi="Calibri"/>
                <w:sz w:val="20"/>
                <w:szCs w:val="20"/>
                <w:lang w:val="es-MX" w:eastAsia="ja-JP"/>
              </w:rPr>
              <w:t>Se elaboró el documento sobre la vinculación de la institucionalidad de los programas sociales y los ODM y se entregó al PNUD México.</w:t>
            </w:r>
          </w:p>
        </w:tc>
      </w:tr>
    </w:tbl>
    <w:p w:rsidR="00AA4E4A" w:rsidRPr="009A2804" w:rsidRDefault="00AA4E4A" w:rsidP="00DD4EC9">
      <w:pPr>
        <w:pStyle w:val="Listavistosa-nfasis11"/>
        <w:numPr>
          <w:ilvl w:val="0"/>
          <w:numId w:val="1"/>
        </w:numPr>
        <w:spacing w:before="360" w:after="240"/>
        <w:ind w:left="357" w:hanging="357"/>
        <w:rPr>
          <w:rFonts w:asciiTheme="minorHAnsi" w:hAnsiTheme="minorHAnsi" w:cstheme="minorHAnsi"/>
          <w:b/>
          <w:bCs/>
          <w:smallCaps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b/>
          <w:bCs/>
          <w:smallCaps/>
          <w:sz w:val="20"/>
          <w:szCs w:val="20"/>
          <w:lang w:val="es-MX"/>
        </w:rPr>
        <w:t>RIESGOS</w:t>
      </w:r>
    </w:p>
    <w:tbl>
      <w:tblPr>
        <w:tblpPr w:leftFromText="141" w:rightFromText="141" w:vertAnchor="text" w:horzAnchor="margin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418"/>
        <w:gridCol w:w="2976"/>
        <w:gridCol w:w="1134"/>
        <w:gridCol w:w="1008"/>
      </w:tblGrid>
      <w:tr w:rsidR="00936F87" w:rsidRPr="009A2804" w:rsidTr="00920C05">
        <w:tc>
          <w:tcPr>
            <w:tcW w:w="2518" w:type="dxa"/>
            <w:shd w:val="clear" w:color="auto" w:fill="595959"/>
          </w:tcPr>
          <w:p w:rsidR="00AA4E4A" w:rsidRPr="009A2804" w:rsidRDefault="00AA4E4A" w:rsidP="00936F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418" w:type="dxa"/>
            <w:shd w:val="clear" w:color="auto" w:fill="595959"/>
          </w:tcPr>
          <w:p w:rsidR="00AA4E4A" w:rsidRPr="009A2804" w:rsidRDefault="00AA4E4A" w:rsidP="00936F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  <w:t>Resultados/actividades afectadas</w:t>
            </w:r>
          </w:p>
        </w:tc>
        <w:tc>
          <w:tcPr>
            <w:tcW w:w="2976" w:type="dxa"/>
            <w:shd w:val="clear" w:color="auto" w:fill="595959"/>
          </w:tcPr>
          <w:p w:rsidR="00AA4E4A" w:rsidRPr="009A2804" w:rsidRDefault="00AA4E4A" w:rsidP="00936F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  <w:t>Descripción breve de las medidas tomadas</w:t>
            </w:r>
          </w:p>
        </w:tc>
        <w:tc>
          <w:tcPr>
            <w:tcW w:w="1134" w:type="dxa"/>
            <w:shd w:val="clear" w:color="auto" w:fill="595959"/>
          </w:tcPr>
          <w:p w:rsidR="00AA4E4A" w:rsidRPr="009A2804" w:rsidRDefault="00AA4E4A" w:rsidP="00936F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595959"/>
          </w:tcPr>
          <w:p w:rsidR="00AA4E4A" w:rsidRPr="009A2804" w:rsidRDefault="00AA4E4A" w:rsidP="00936F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MX"/>
              </w:rPr>
              <w:t>Grado del riesgo</w:t>
            </w:r>
          </w:p>
        </w:tc>
      </w:tr>
      <w:tr w:rsidR="00936F87" w:rsidRPr="009A2804" w:rsidTr="00920C05">
        <w:tc>
          <w:tcPr>
            <w:tcW w:w="2518" w:type="dxa"/>
          </w:tcPr>
          <w:p w:rsidR="00AA4E4A" w:rsidRPr="009A2804" w:rsidRDefault="00936F87" w:rsidP="00936F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Proyecto IPRO: </w:t>
            </w:r>
          </w:p>
        </w:tc>
        <w:tc>
          <w:tcPr>
            <w:tcW w:w="1418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76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</w:tc>
        <w:tc>
          <w:tcPr>
            <w:tcW w:w="1008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936F87" w:rsidRPr="009A2804" w:rsidTr="00920C05">
        <w:tc>
          <w:tcPr>
            <w:tcW w:w="2518" w:type="dxa"/>
          </w:tcPr>
          <w:p w:rsidR="00936F87" w:rsidRPr="00B47ADE" w:rsidRDefault="00936F87" w:rsidP="00B47A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47AD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El principal riesgo que subyace es la disponibilidad que tengan las autoridades para proveer la información y su disposición y habilidad par</w:t>
            </w:r>
            <w:r w:rsidR="00FF3208" w:rsidRPr="00B47AD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a entregarla de manera completa y que sea validada.</w:t>
            </w:r>
          </w:p>
        </w:tc>
        <w:tc>
          <w:tcPr>
            <w:tcW w:w="1418" w:type="dxa"/>
          </w:tcPr>
          <w:p w:rsidR="00936F87" w:rsidRPr="009A2804" w:rsidRDefault="00A129ED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Se han sumado a la iniciativa </w:t>
            </w:r>
            <w:r w:rsidR="0023616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31 de las 32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entidades </w:t>
            </w:r>
            <w:r w:rsidR="00FF320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federativas</w:t>
            </w:r>
            <w:r w:rsidR="00236164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, únicamente faltó el Estado de Tamaulipas</w:t>
            </w:r>
            <w:r w:rsidR="00FF320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. Se sumaron todas las dependencias federales invitadas a participar en la iniciativa.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76" w:type="dxa"/>
          </w:tcPr>
          <w:p w:rsidR="00936F87" w:rsidRDefault="00FF3208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Hubo comunicación constante para el seguimiento con las oficinas de los  Gobernadores o con los enlaces de las Secretarías de Desarrollo Social</w:t>
            </w:r>
            <w:r w:rsidR="0023616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 las Entidades Federativas o con las contralorías o áreas de transparencia. Por parte de las dependencias  federales también se dio seguimiento a través de la oficina del titular.</w:t>
            </w:r>
          </w:p>
          <w:p w:rsidR="00A129ED" w:rsidRPr="00A129ED" w:rsidRDefault="00A129ED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:rsidR="00936F87" w:rsidRPr="009A2804" w:rsidRDefault="00236164" w:rsidP="00A129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La convocatoria se llevó a cabo de junio a julio del 2012.</w:t>
            </w:r>
          </w:p>
        </w:tc>
        <w:tc>
          <w:tcPr>
            <w:tcW w:w="1008" w:type="dxa"/>
          </w:tcPr>
          <w:p w:rsidR="00936F87" w:rsidRPr="00A129ED" w:rsidRDefault="00A129ED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Medio</w:t>
            </w:r>
          </w:p>
        </w:tc>
      </w:tr>
      <w:tr w:rsidR="00936F87" w:rsidRPr="009A2804" w:rsidTr="00920C05">
        <w:tc>
          <w:tcPr>
            <w:tcW w:w="2518" w:type="dxa"/>
          </w:tcPr>
          <w:p w:rsidR="00106D96" w:rsidRPr="009A2804" w:rsidRDefault="00B47ADE" w:rsidP="00B47A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MX"/>
              </w:rPr>
              <w:t>Riesgo en el atraso de actividades en el componente SEP.</w:t>
            </w:r>
          </w:p>
        </w:tc>
        <w:tc>
          <w:tcPr>
            <w:tcW w:w="1418" w:type="dxa"/>
          </w:tcPr>
          <w:p w:rsidR="00106D96" w:rsidRPr="009A2804" w:rsidRDefault="00236164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L</w:t>
            </w:r>
            <w:r w:rsidR="00695C2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as 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actividades fueron replanteadas.</w:t>
            </w:r>
          </w:p>
        </w:tc>
        <w:tc>
          <w:tcPr>
            <w:tcW w:w="2976" w:type="dxa"/>
          </w:tcPr>
          <w:p w:rsidR="00106D96" w:rsidRPr="009A2804" w:rsidRDefault="00236164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retomó el tema con la Subsecretaría de Educación Media Superior, quien solicitó llevar a cabo una publicación única sobre Transparencia y Rendición de Cuentas en la Educaci</w:t>
            </w:r>
            <w:r w:rsidR="00F2146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ón Media Superior: </w:t>
            </w:r>
            <w:hyperlink r:id="rId14" w:history="1">
              <w:r w:rsidR="00F2146E" w:rsidRPr="00DB1C3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ar-SA"/>
                </w:rPr>
                <w:t>http://sems.gob.mx/es/sems/transparencia_mexicana_pnud_sep_presentan_libro_sobre_transparencia_rendicion_cuentas_ems</w:t>
              </w:r>
            </w:hyperlink>
            <w:r w:rsidR="00F2146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)</w:t>
            </w:r>
            <w:r w:rsidR="00F2146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br/>
            </w:r>
          </w:p>
        </w:tc>
        <w:tc>
          <w:tcPr>
            <w:tcW w:w="1134" w:type="dxa"/>
          </w:tcPr>
          <w:p w:rsidR="00106D96" w:rsidRPr="009A2804" w:rsidRDefault="00236164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La publicación fue entregada</w:t>
            </w:r>
            <w:r w:rsidR="00F2146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y presentada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</w:t>
            </w:r>
            <w:r w:rsidR="00F2146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durante </w:t>
            </w:r>
            <w:r w:rsidR="00F2146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el último trimestre del 2012.</w:t>
            </w:r>
          </w:p>
        </w:tc>
        <w:tc>
          <w:tcPr>
            <w:tcW w:w="1008" w:type="dxa"/>
          </w:tcPr>
          <w:p w:rsidR="00106D96" w:rsidRPr="00A129ED" w:rsidRDefault="00B47ADE" w:rsidP="00AA4E4A">
            <w:pPr>
              <w:spacing w:after="0" w:line="240" w:lineRule="auto"/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lastRenderedPageBreak/>
              <w:t>Medio</w:t>
            </w:r>
          </w:p>
        </w:tc>
      </w:tr>
      <w:tr w:rsidR="00F2146E" w:rsidRPr="009A2804" w:rsidTr="00920C05">
        <w:tc>
          <w:tcPr>
            <w:tcW w:w="2518" w:type="dxa"/>
          </w:tcPr>
          <w:p w:rsidR="00F2146E" w:rsidRDefault="00037DD3" w:rsidP="00B47A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MX"/>
              </w:rPr>
              <w:lastRenderedPageBreak/>
              <w:t>Que</w:t>
            </w:r>
            <w:r w:rsidR="00F2146E">
              <w:rPr>
                <w:rFonts w:asciiTheme="minorHAnsi" w:eastAsia="Times New Roman" w:hAnsiTheme="minorHAnsi" w:cstheme="minorHAnsi"/>
                <w:sz w:val="20"/>
                <w:szCs w:val="20"/>
                <w:lang w:eastAsia="es-MX"/>
              </w:rPr>
              <w:t xml:space="preserve"> el Catálogo Nacional de Programas, Acciones e Intervenciones para el Desarrollo Social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MX"/>
              </w:rPr>
              <w:t xml:space="preserve"> pueda o no ser retomado por la siguiente administración</w:t>
            </w:r>
          </w:p>
        </w:tc>
        <w:tc>
          <w:tcPr>
            <w:tcW w:w="1418" w:type="dxa"/>
          </w:tcPr>
          <w:p w:rsidR="00F2146E" w:rsidRDefault="00037DD3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Dado el cambio de gobierno, la Secretaría de Desarrollo Social no quiso hacer una presentación pública al final del sexenio. Se deberá retomar a principios de la siguiente administración.</w:t>
            </w:r>
          </w:p>
        </w:tc>
        <w:tc>
          <w:tcPr>
            <w:tcW w:w="2976" w:type="dxa"/>
          </w:tcPr>
          <w:p w:rsidR="00F2146E" w:rsidRDefault="00456A20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Se presentó el Catálogo </w:t>
            </w:r>
            <w:r w:rsidR="00753DB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en el Senado de la República el 5 de febrero. </w:t>
            </w:r>
          </w:p>
          <w:p w:rsidR="00753DB2" w:rsidRDefault="00753DB2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  <w:p w:rsidR="00753DB2" w:rsidRDefault="00753DB2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tuvo una reunión con el equipo de transición.</w:t>
            </w:r>
          </w:p>
          <w:p w:rsidR="00753DB2" w:rsidRDefault="00753DB2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  <w:p w:rsidR="00753DB2" w:rsidRDefault="00753DB2" w:rsidP="002361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ha continuado el trabajo con el Consejo Nacional de Evaluación de la Política Social (CONEVAL)</w:t>
            </w:r>
          </w:p>
        </w:tc>
        <w:tc>
          <w:tcPr>
            <w:tcW w:w="1134" w:type="dxa"/>
          </w:tcPr>
          <w:p w:rsidR="00F2146E" w:rsidRDefault="00753DB2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Último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trimestra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2012.</w:t>
            </w:r>
          </w:p>
        </w:tc>
        <w:tc>
          <w:tcPr>
            <w:tcW w:w="1008" w:type="dxa"/>
          </w:tcPr>
          <w:p w:rsidR="00F2146E" w:rsidRDefault="00753DB2" w:rsidP="00AA4E4A">
            <w:pPr>
              <w:spacing w:after="0" w:line="240" w:lineRule="auto"/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t>Medio</w:t>
            </w:r>
          </w:p>
        </w:tc>
      </w:tr>
    </w:tbl>
    <w:p w:rsidR="00AA4E4A" w:rsidRPr="009A2804" w:rsidRDefault="00AA4E4A" w:rsidP="00DD4EC9">
      <w:pPr>
        <w:pStyle w:val="Listavistosa-nfasis11"/>
        <w:numPr>
          <w:ilvl w:val="0"/>
          <w:numId w:val="1"/>
        </w:numPr>
        <w:spacing w:before="360" w:after="240"/>
        <w:ind w:left="357" w:hanging="357"/>
        <w:rPr>
          <w:rFonts w:asciiTheme="minorHAnsi" w:hAnsiTheme="minorHAnsi" w:cstheme="minorHAnsi"/>
          <w:b/>
          <w:bCs/>
          <w:smallCaps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b/>
          <w:bCs/>
          <w:smallCaps/>
          <w:sz w:val="20"/>
          <w:szCs w:val="20"/>
          <w:lang w:val="es-MX"/>
        </w:rPr>
        <w:t>PROBLEMAS/ASPECTOS RELEVANTES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9"/>
        <w:gridCol w:w="3347"/>
        <w:gridCol w:w="1366"/>
        <w:gridCol w:w="1326"/>
      </w:tblGrid>
      <w:tr w:rsidR="00AA4E4A" w:rsidRPr="009A2804" w:rsidTr="005963FA">
        <w:tc>
          <w:tcPr>
            <w:tcW w:w="2539" w:type="dxa"/>
            <w:shd w:val="clear" w:color="auto" w:fill="595959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Descripción</w:t>
            </w:r>
          </w:p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2885" w:type="dxa"/>
            <w:shd w:val="clear" w:color="auto" w:fill="595959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Descripción breve de las medidas tomadas</w:t>
            </w:r>
          </w:p>
        </w:tc>
        <w:tc>
          <w:tcPr>
            <w:tcW w:w="1366" w:type="dxa"/>
            <w:shd w:val="clear" w:color="auto" w:fill="595959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Fecha inicio-fin</w:t>
            </w:r>
          </w:p>
        </w:tc>
        <w:tc>
          <w:tcPr>
            <w:tcW w:w="1326" w:type="dxa"/>
            <w:shd w:val="clear" w:color="auto" w:fill="595959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Crítico</w:t>
            </w:r>
          </w:p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(Sí o No)</w:t>
            </w:r>
          </w:p>
        </w:tc>
      </w:tr>
      <w:tr w:rsidR="00AA4E4A" w:rsidRPr="004F4502" w:rsidTr="005963FA">
        <w:tc>
          <w:tcPr>
            <w:tcW w:w="2539" w:type="dxa"/>
          </w:tcPr>
          <w:p w:rsidR="00AA4E4A" w:rsidRPr="004F4502" w:rsidRDefault="005963FA" w:rsidP="00B501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Aspecto Relevante: </w:t>
            </w:r>
            <w:r w:rsidR="00B5015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Aumentó la participación de entidades federativas, participaron 31 de 32 y actualizaron todas al 2012. Se logró que el</w:t>
            </w:r>
            <w:r w:rsidR="0098250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total de dependencias</w:t>
            </w:r>
            <w:r w:rsidR="00B5015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federales invitadas en IPRO participaran.</w:t>
            </w:r>
          </w:p>
        </w:tc>
        <w:tc>
          <w:tcPr>
            <w:tcW w:w="2885" w:type="dxa"/>
          </w:tcPr>
          <w:p w:rsidR="00AA4E4A" w:rsidRPr="004F4502" w:rsidRDefault="004F4502" w:rsidP="005963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 le</w:t>
            </w:r>
            <w:r w:rsidR="005963F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 ha dado seguimiento. Incluso a las entidades que no han participado, mediante reuniones presenciales o por llamada telefónica.</w:t>
            </w:r>
            <w:r w:rsidR="0098250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66" w:type="dxa"/>
          </w:tcPr>
          <w:p w:rsidR="00AA4E4A" w:rsidRPr="004F4502" w:rsidRDefault="004F4502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Todo el año</w:t>
            </w:r>
          </w:p>
        </w:tc>
        <w:tc>
          <w:tcPr>
            <w:tcW w:w="1326" w:type="dxa"/>
          </w:tcPr>
          <w:p w:rsidR="00AA4E4A" w:rsidRPr="004F4502" w:rsidRDefault="00AA4E4A" w:rsidP="00E05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Sí </w:t>
            </w:r>
            <w:bookmarkStart w:id="1" w:name="Check1"/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56D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instrText xml:space="preserve"> FORMCHECKBOX </w:instrTex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separate"/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end"/>
            </w:r>
            <w:bookmarkEnd w:id="1"/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 No</w:t>
            </w:r>
            <w:r w:rsidR="00CE5C6B"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instrText xml:space="preserve"> FORMCHECKBOX </w:instrTex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separate"/>
            </w:r>
            <w:r w:rsidR="00CE5C6B"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end"/>
            </w:r>
          </w:p>
        </w:tc>
      </w:tr>
      <w:tr w:rsidR="00AA4E4A" w:rsidRPr="004F4502" w:rsidTr="005963FA">
        <w:tc>
          <w:tcPr>
            <w:tcW w:w="2539" w:type="dxa"/>
          </w:tcPr>
          <w:p w:rsidR="00AA4E4A" w:rsidRPr="004F4502" w:rsidRDefault="005963FA" w:rsidP="00B501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Se </w:t>
            </w:r>
            <w:r w:rsidR="00B50150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conformó el Catálogo Nacional de Programas, Acciones e Intervenciones para el Desarrollo Social</w:t>
            </w:r>
          </w:p>
        </w:tc>
        <w:tc>
          <w:tcPr>
            <w:tcW w:w="2885" w:type="dxa"/>
          </w:tcPr>
          <w:p w:rsidR="00AA4E4A" w:rsidRPr="004F4502" w:rsidRDefault="00B50150" w:rsidP="004F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logró con la plataforma de IPRO y de CONEVAL para una primera fase.</w:t>
            </w:r>
          </w:p>
        </w:tc>
        <w:tc>
          <w:tcPr>
            <w:tcW w:w="1366" w:type="dxa"/>
          </w:tcPr>
          <w:p w:rsidR="00AA4E4A" w:rsidRPr="004F4502" w:rsidRDefault="00B50150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Último trimestre 2012</w:t>
            </w:r>
          </w:p>
        </w:tc>
        <w:tc>
          <w:tcPr>
            <w:tcW w:w="1326" w:type="dxa"/>
          </w:tcPr>
          <w:p w:rsidR="00AA4E4A" w:rsidRPr="004F4502" w:rsidRDefault="00B50150" w:rsidP="004363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Sí </w: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instrText xml:space="preserve"> FORMCHECKBOX </w:instrTex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separate"/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end"/>
            </w: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 No</w:t>
            </w:r>
            <w:r w:rsidR="00CE5C6B"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instrText xml:space="preserve"> FORMCHECKBOX </w:instrTex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separate"/>
            </w:r>
            <w:r w:rsidR="00CE5C6B"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end"/>
            </w:r>
          </w:p>
        </w:tc>
      </w:tr>
      <w:tr w:rsidR="00B50150" w:rsidRPr="004F4502" w:rsidTr="005963FA">
        <w:tc>
          <w:tcPr>
            <w:tcW w:w="2539" w:type="dxa"/>
          </w:tcPr>
          <w:p w:rsidR="00B50150" w:rsidRDefault="00B50150" w:rsidP="00B501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elaboró la publicación “Transparencia y Rendición de Cuentas en la Educación Media Superior” y entregó a la Secretaría de Educación Pública.</w:t>
            </w:r>
            <w:r w:rsidR="0025161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 </w:t>
            </w:r>
          </w:p>
          <w:p w:rsidR="0025161C" w:rsidRDefault="0025161C" w:rsidP="00B501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</w:tc>
        <w:tc>
          <w:tcPr>
            <w:tcW w:w="2885" w:type="dxa"/>
          </w:tcPr>
          <w:p w:rsidR="00B50150" w:rsidRDefault="0025161C" w:rsidP="004F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Se entregó y se puede consultar en </w:t>
            </w:r>
            <w:r w:rsidRPr="0025161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http://www.tm.org.mx/transparencia-y-rendicion-de-cuentas-en-la-educacion-media-superior/</w:t>
            </w:r>
          </w:p>
        </w:tc>
        <w:tc>
          <w:tcPr>
            <w:tcW w:w="1366" w:type="dxa"/>
          </w:tcPr>
          <w:p w:rsidR="00B50150" w:rsidRDefault="00B50150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Último trimestre 2012</w:t>
            </w:r>
          </w:p>
        </w:tc>
        <w:tc>
          <w:tcPr>
            <w:tcW w:w="1326" w:type="dxa"/>
          </w:tcPr>
          <w:p w:rsidR="00B50150" w:rsidRPr="004F4502" w:rsidRDefault="00B50150" w:rsidP="004363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Sí </w: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instrText xml:space="preserve"> FORMCHECKBOX </w:instrTex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separate"/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end"/>
            </w: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 No</w:t>
            </w:r>
            <w:r w:rsidR="00CE5C6B"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instrText xml:space="preserve"> FORMCHECKBOX </w:instrText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</w:r>
            <w:r w:rsidR="00CE5C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separate"/>
            </w:r>
            <w:r w:rsidR="00CE5C6B" w:rsidRPr="004F450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AA4E4A" w:rsidRPr="009A2804" w:rsidRDefault="00AA4E4A" w:rsidP="00DD4EC9">
      <w:pPr>
        <w:pStyle w:val="Listavistosa-nfasis11"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b/>
          <w:sz w:val="20"/>
          <w:szCs w:val="20"/>
          <w:lang w:val="es-MX"/>
        </w:rPr>
        <w:t>LECCIONES APRENDIDAS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1"/>
      </w:tblGrid>
      <w:tr w:rsidR="00AA4E4A" w:rsidRPr="009A2804">
        <w:trPr>
          <w:cantSplit/>
          <w:trHeight w:val="260"/>
        </w:trPr>
        <w:tc>
          <w:tcPr>
            <w:tcW w:w="9111" w:type="dxa"/>
            <w:shd w:val="clear" w:color="auto" w:fill="595959"/>
          </w:tcPr>
          <w:p w:rsidR="00AA4E4A" w:rsidRPr="009A2804" w:rsidRDefault="00AA4E4A" w:rsidP="00AA4E4A">
            <w:pPr>
              <w:pStyle w:val="BodyText"/>
              <w:tabs>
                <w:tab w:val="left" w:pos="8051"/>
              </w:tabs>
              <w:rPr>
                <w:rFonts w:asciiTheme="minorHAnsi" w:hAnsiTheme="minorHAnsi" w:cstheme="minorHAnsi"/>
                <w:bCs/>
                <w:iCs/>
                <w:color w:val="FFFFFF"/>
                <w:lang w:val="es-MX"/>
              </w:rPr>
            </w:pPr>
            <w:r w:rsidRPr="009A2804">
              <w:rPr>
                <w:rFonts w:asciiTheme="minorHAnsi" w:hAnsiTheme="minorHAnsi" w:cstheme="minorHAnsi"/>
                <w:bCs/>
                <w:iCs/>
                <w:color w:val="FFFFFF"/>
                <w:lang w:val="es-MX"/>
              </w:rPr>
              <w:t xml:space="preserve">¿Hay lecciones que pueden beneficiar el diseño o implementación de otros proyectos? </w:t>
            </w:r>
            <w:r w:rsidRPr="009A2804">
              <w:rPr>
                <w:rFonts w:asciiTheme="minorHAnsi" w:hAnsiTheme="minorHAnsi" w:cstheme="minorHAnsi"/>
                <w:bCs/>
                <w:iCs/>
                <w:color w:val="FFFFFF"/>
                <w:lang w:val="es-MX"/>
              </w:rPr>
              <w:tab/>
            </w:r>
          </w:p>
        </w:tc>
      </w:tr>
      <w:tr w:rsidR="00AA4E4A" w:rsidRPr="009A2804">
        <w:trPr>
          <w:cantSplit/>
          <w:trHeight w:val="863"/>
        </w:trPr>
        <w:tc>
          <w:tcPr>
            <w:tcW w:w="9111" w:type="dxa"/>
            <w:tcBorders>
              <w:bottom w:val="single" w:sz="4" w:space="0" w:color="auto"/>
            </w:tcBorders>
          </w:tcPr>
          <w:p w:rsidR="00AA4E4A" w:rsidRDefault="00015574" w:rsidP="00AA4E4A">
            <w:pPr>
              <w:pStyle w:val="BodyText"/>
              <w:rPr>
                <w:rFonts w:asciiTheme="minorHAnsi" w:hAnsiTheme="minorHAnsi" w:cstheme="minorHAnsi"/>
                <w:b w:val="0"/>
                <w:lang w:val="es-ES"/>
              </w:rPr>
            </w:pPr>
            <w:r>
              <w:rPr>
                <w:rFonts w:asciiTheme="minorHAnsi" w:hAnsiTheme="minorHAnsi" w:cstheme="minorHAnsi"/>
                <w:b w:val="0"/>
                <w:lang w:val="es-ES"/>
              </w:rPr>
              <w:lastRenderedPageBreak/>
              <w:t xml:space="preserve">La interlocución personal con funcionarios de los gobiernos de las entidades federativas resulta clave para la inclusión de programas sociales y para asesoría técnica en el llenado de la información. </w:t>
            </w:r>
            <w:r w:rsidR="0025161C">
              <w:rPr>
                <w:rFonts w:asciiTheme="minorHAnsi" w:hAnsiTheme="minorHAnsi" w:cstheme="minorHAnsi"/>
                <w:b w:val="0"/>
                <w:lang w:val="es-ES"/>
              </w:rPr>
              <w:t>La colaboración de las Secretarías de Desarrollo Social y de las contralorías es crucial para que haya participación.</w:t>
            </w:r>
          </w:p>
          <w:p w:rsidR="00015574" w:rsidRPr="009A2804" w:rsidRDefault="00015574" w:rsidP="0025161C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lang w:val="es-ES"/>
              </w:rPr>
              <w:t xml:space="preserve">Se han tenido reuniones </w:t>
            </w:r>
            <w:r w:rsidR="0025161C">
              <w:rPr>
                <w:rFonts w:asciiTheme="minorHAnsi" w:hAnsiTheme="minorHAnsi" w:cstheme="minorHAnsi"/>
                <w:b w:val="0"/>
                <w:lang w:val="es-ES"/>
              </w:rPr>
              <w:t>con diversas entidades federativas y dependencias federales para lograr el consenso para la elaboración del Catálogo Nacional.</w:t>
            </w:r>
          </w:p>
        </w:tc>
      </w:tr>
    </w:tbl>
    <w:p w:rsidR="00AA4E4A" w:rsidRPr="009A2804" w:rsidRDefault="00AA4E4A" w:rsidP="00DD4EC9">
      <w:pPr>
        <w:pStyle w:val="Listavistosa-nfasis11"/>
        <w:numPr>
          <w:ilvl w:val="0"/>
          <w:numId w:val="1"/>
        </w:numPr>
        <w:spacing w:before="360" w:after="240"/>
        <w:ind w:left="357" w:hanging="357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b/>
          <w:sz w:val="20"/>
          <w:szCs w:val="20"/>
          <w:lang w:val="es-MX"/>
        </w:rPr>
        <w:t>DESEMPEÑO FINANCIERO ANUAL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518"/>
        <w:gridCol w:w="851"/>
        <w:gridCol w:w="1624"/>
        <w:gridCol w:w="2993"/>
      </w:tblGrid>
      <w:tr w:rsidR="00AA4E4A" w:rsidRPr="009A2804">
        <w:tc>
          <w:tcPr>
            <w:tcW w:w="8978" w:type="dxa"/>
            <w:gridSpan w:val="5"/>
            <w:shd w:val="clear" w:color="auto" w:fill="4D4D4D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Gasto del año</w:t>
            </w:r>
          </w:p>
        </w:tc>
      </w:tr>
      <w:tr w:rsidR="00AA4E4A" w:rsidRPr="009A2804">
        <w:tc>
          <w:tcPr>
            <w:tcW w:w="2992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Aprobado</w:t>
            </w:r>
          </w:p>
        </w:tc>
        <w:tc>
          <w:tcPr>
            <w:tcW w:w="2993" w:type="dxa"/>
            <w:gridSpan w:val="3"/>
          </w:tcPr>
          <w:p w:rsidR="00AA4E4A" w:rsidRPr="009A2804" w:rsidRDefault="00AA4E4A" w:rsidP="0025161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USD</w:t>
            </w:r>
            <w:r w:rsidR="00E11D77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="00284C23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$ </w:t>
            </w:r>
            <w:r w:rsidR="009E4CCB">
              <w:rPr>
                <w:sz w:val="20"/>
                <w:szCs w:val="20"/>
                <w:lang w:val="es-MX"/>
              </w:rPr>
              <w:t>178,380.56</w:t>
            </w:r>
          </w:p>
        </w:tc>
        <w:tc>
          <w:tcPr>
            <w:tcW w:w="2993" w:type="dxa"/>
          </w:tcPr>
          <w:p w:rsidR="00AA4E4A" w:rsidRPr="009A2804" w:rsidRDefault="00716579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% del total del proyecto</w:t>
            </w:r>
          </w:p>
        </w:tc>
      </w:tr>
      <w:tr w:rsidR="00AA4E4A" w:rsidRPr="009A2804">
        <w:tc>
          <w:tcPr>
            <w:tcW w:w="2992" w:type="dxa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Ejercido</w:t>
            </w:r>
          </w:p>
        </w:tc>
        <w:tc>
          <w:tcPr>
            <w:tcW w:w="2993" w:type="dxa"/>
            <w:gridSpan w:val="3"/>
          </w:tcPr>
          <w:p w:rsidR="00AA4E4A" w:rsidRPr="009A2804" w:rsidRDefault="00AA4E4A" w:rsidP="00B3730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USD</w:t>
            </w:r>
            <w:r w:rsidR="009E4CC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$</w:t>
            </w:r>
            <w:r w:rsidR="009E4CCB" w:rsidRPr="009E4CC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135,963.34</w:t>
            </w:r>
            <w:r w:rsidR="00E11D77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 </w:t>
            </w:r>
            <w:r w:rsidR="00284C23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993" w:type="dxa"/>
          </w:tcPr>
          <w:p w:rsidR="00AA4E4A" w:rsidRPr="009A2804" w:rsidRDefault="00AA4E4A" w:rsidP="007165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% del presupuesto del año</w:t>
            </w:r>
          </w:p>
        </w:tc>
      </w:tr>
      <w:tr w:rsidR="00AA4E4A" w:rsidRPr="009A2804">
        <w:tc>
          <w:tcPr>
            <w:tcW w:w="2992" w:type="dxa"/>
            <w:tcBorders>
              <w:top w:val="double" w:sz="4" w:space="0" w:color="auto"/>
              <w:bottom w:val="single" w:sz="4" w:space="0" w:color="000000"/>
            </w:tcBorders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Total del gasto</w:t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  <w:bottom w:val="single" w:sz="4" w:space="0" w:color="000000"/>
            </w:tcBorders>
          </w:tcPr>
          <w:p w:rsidR="00AA4E4A" w:rsidRPr="009A2804" w:rsidRDefault="00AA4E4A" w:rsidP="00B3730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993" w:type="dxa"/>
            <w:tcBorders>
              <w:top w:val="double" w:sz="4" w:space="0" w:color="auto"/>
              <w:bottom w:val="single" w:sz="4" w:space="0" w:color="000000"/>
            </w:tcBorders>
          </w:tcPr>
          <w:p w:rsidR="00AA4E4A" w:rsidRPr="009A2804" w:rsidRDefault="00AA4E4A" w:rsidP="0071657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% del presupuesto del proyecto</w:t>
            </w:r>
          </w:p>
        </w:tc>
      </w:tr>
      <w:tr w:rsidR="00AA4E4A" w:rsidRPr="009A2804">
        <w:tc>
          <w:tcPr>
            <w:tcW w:w="8978" w:type="dxa"/>
            <w:gridSpan w:val="5"/>
            <w:tcBorders>
              <w:top w:val="double" w:sz="4" w:space="0" w:color="auto"/>
              <w:bottom w:val="single" w:sz="4" w:space="0" w:color="000000"/>
            </w:tcBorders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Motivo de la variación en el gasto</w:t>
            </w:r>
            <w:r w:rsidR="009E4CC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: No se llevó a cabo el evento de presentación del Catálogo con el Órgano de Gobierno dado el cambio de administración, por lo que se planteó para el 2013.</w:t>
            </w:r>
          </w:p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AA4E4A" w:rsidRPr="009A2804">
        <w:tc>
          <w:tcPr>
            <w:tcW w:w="897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4D4D4D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t>Planeación</w:t>
            </w:r>
          </w:p>
        </w:tc>
      </w:tr>
      <w:tr w:rsidR="00AA4E4A" w:rsidRPr="009A2804"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Presupuesto del año siguiente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4E4A" w:rsidRPr="009A2804" w:rsidRDefault="00AA4E4A" w:rsidP="00B373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USD</w:t>
            </w:r>
            <w:r w:rsidR="00E70B68"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% del presupuesto total del proyecto</w:t>
            </w:r>
          </w:p>
        </w:tc>
      </w:tr>
      <w:tr w:rsidR="00AA4E4A" w:rsidRPr="009A2804">
        <w:trPr>
          <w:trHeight w:val="207"/>
        </w:trPr>
        <w:tc>
          <w:tcPr>
            <w:tcW w:w="299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Revisión en proceso</w:t>
            </w:r>
          </w:p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Sí 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No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A280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Objetivo de la revisión (descripción breve)</w:t>
            </w:r>
          </w:p>
        </w:tc>
      </w:tr>
      <w:tr w:rsidR="00AA4E4A" w:rsidRPr="009A2804">
        <w:trPr>
          <w:trHeight w:val="206"/>
        </w:trPr>
        <w:tc>
          <w:tcPr>
            <w:tcW w:w="2992" w:type="dxa"/>
            <w:vMerge/>
            <w:shd w:val="clear" w:color="auto" w:fill="auto"/>
          </w:tcPr>
          <w:p w:rsidR="00AA4E4A" w:rsidRPr="009A2804" w:rsidRDefault="00AA4E4A" w:rsidP="00AA4E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bookmarkStart w:id="2" w:name="Check3"/>
        <w:tc>
          <w:tcPr>
            <w:tcW w:w="518" w:type="dxa"/>
            <w:tcBorders>
              <w:top w:val="dotted" w:sz="4" w:space="0" w:color="auto"/>
            </w:tcBorders>
            <w:shd w:val="clear" w:color="auto" w:fill="auto"/>
          </w:tcPr>
          <w:p w:rsidR="00AA4E4A" w:rsidRPr="009A2804" w:rsidRDefault="00CE5C6B" w:rsidP="00E70B68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6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fldChar w:fldCharType="end"/>
            </w:r>
            <w:bookmarkEnd w:id="2"/>
          </w:p>
        </w:tc>
        <w:bookmarkStart w:id="3" w:name="Check4"/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AA4E4A" w:rsidRPr="009A2804" w:rsidRDefault="00CE5C6B" w:rsidP="00AA4E4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516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  <w:fldChar w:fldCharType="end"/>
            </w:r>
            <w:bookmarkEnd w:id="3"/>
          </w:p>
        </w:tc>
        <w:tc>
          <w:tcPr>
            <w:tcW w:w="461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70B68" w:rsidRPr="009A2804" w:rsidRDefault="00E70B68" w:rsidP="0025161C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</w:p>
        </w:tc>
      </w:tr>
    </w:tbl>
    <w:p w:rsidR="00AA4E4A" w:rsidRPr="009A2804" w:rsidRDefault="00AA4E4A" w:rsidP="00AA4E4A">
      <w:pPr>
        <w:spacing w:after="0" w:line="240" w:lineRule="auto"/>
        <w:rPr>
          <w:rFonts w:asciiTheme="minorHAnsi" w:hAnsiTheme="minorHAnsi" w:cstheme="minorHAnsi"/>
          <w:b/>
          <w:color w:val="FFFFFF"/>
          <w:sz w:val="20"/>
          <w:szCs w:val="20"/>
          <w:lang w:val="es-MX"/>
        </w:rPr>
      </w:pPr>
    </w:p>
    <w:p w:rsidR="00AA4E4A" w:rsidRPr="009A2804" w:rsidRDefault="00AA4E4A" w:rsidP="00AA4E4A">
      <w:pPr>
        <w:spacing w:after="0" w:line="240" w:lineRule="auto"/>
        <w:rPr>
          <w:rFonts w:asciiTheme="minorHAnsi" w:hAnsiTheme="minorHAnsi" w:cstheme="minorHAnsi"/>
          <w:b/>
          <w:color w:val="FFFFFF"/>
          <w:sz w:val="20"/>
          <w:szCs w:val="20"/>
          <w:lang w:val="es-MX"/>
        </w:rPr>
      </w:pPr>
    </w:p>
    <w:p w:rsidR="00AA4E4A" w:rsidRPr="009A2804" w:rsidRDefault="00AA4E4A" w:rsidP="00AA4E4A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sz w:val="20"/>
          <w:szCs w:val="20"/>
          <w:lang w:val="es-MX"/>
        </w:rPr>
        <w:t>Elaborado por</w:t>
      </w:r>
      <w:r w:rsidR="00716579" w:rsidRPr="009A2804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7B413B">
        <w:rPr>
          <w:rFonts w:asciiTheme="minorHAnsi" w:hAnsiTheme="minorHAnsi" w:cstheme="minorHAnsi"/>
          <w:sz w:val="20"/>
          <w:szCs w:val="20"/>
          <w:lang w:val="es-MX"/>
        </w:rPr>
        <w:t>Paola Palacios</w:t>
      </w:r>
      <w:r w:rsidR="0025161C">
        <w:rPr>
          <w:rFonts w:asciiTheme="minorHAnsi" w:hAnsiTheme="minorHAnsi" w:cstheme="minorHAnsi"/>
          <w:sz w:val="20"/>
          <w:szCs w:val="20"/>
          <w:lang w:val="es-MX"/>
        </w:rPr>
        <w:t>, Coordinadora del Proyecto</w:t>
      </w:r>
    </w:p>
    <w:p w:rsidR="00AA4E4A" w:rsidRPr="009A2804" w:rsidRDefault="00AA4E4A" w:rsidP="00AA4E4A">
      <w:pPr>
        <w:rPr>
          <w:rFonts w:asciiTheme="minorHAnsi" w:hAnsiTheme="minorHAnsi" w:cstheme="minorHAnsi"/>
          <w:b/>
          <w:color w:val="FFFFFF"/>
          <w:sz w:val="20"/>
          <w:szCs w:val="20"/>
          <w:lang w:val="es-MX"/>
        </w:rPr>
      </w:pPr>
      <w:r w:rsidRPr="009A2804">
        <w:rPr>
          <w:rFonts w:asciiTheme="minorHAnsi" w:hAnsiTheme="minorHAnsi" w:cstheme="minorHAnsi"/>
          <w:sz w:val="20"/>
          <w:szCs w:val="20"/>
          <w:lang w:val="es-MX"/>
        </w:rPr>
        <w:t>Fecha</w:t>
      </w:r>
      <w:r w:rsidR="0025161C">
        <w:rPr>
          <w:rFonts w:asciiTheme="minorHAnsi" w:hAnsiTheme="minorHAnsi" w:cstheme="minorHAnsi"/>
          <w:sz w:val="20"/>
          <w:szCs w:val="20"/>
          <w:lang w:val="es-MX"/>
        </w:rPr>
        <w:t xml:space="preserve"> de entrega</w:t>
      </w:r>
      <w:r w:rsidRPr="009A2804">
        <w:rPr>
          <w:rFonts w:asciiTheme="minorHAnsi" w:hAnsiTheme="minorHAnsi" w:cstheme="minorHAnsi"/>
          <w:sz w:val="20"/>
          <w:szCs w:val="20"/>
          <w:lang w:val="es-MX"/>
        </w:rPr>
        <w:t>:</w:t>
      </w:r>
      <w:r w:rsidR="009E4CCB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bookmarkStart w:id="4" w:name="_GoBack"/>
      <w:bookmarkEnd w:id="4"/>
      <w:r w:rsidR="007B413B">
        <w:rPr>
          <w:rFonts w:asciiTheme="minorHAnsi" w:hAnsiTheme="minorHAnsi" w:cstheme="minorHAnsi"/>
          <w:sz w:val="20"/>
          <w:szCs w:val="20"/>
          <w:lang w:val="es-MX"/>
        </w:rPr>
        <w:t>23 de enero de 201</w:t>
      </w:r>
      <w:r w:rsidR="0025161C">
        <w:rPr>
          <w:rFonts w:asciiTheme="minorHAnsi" w:hAnsiTheme="minorHAnsi" w:cstheme="minorHAnsi"/>
          <w:sz w:val="20"/>
          <w:szCs w:val="20"/>
          <w:lang w:val="es-MX"/>
        </w:rPr>
        <w:t>2</w:t>
      </w:r>
      <w:r w:rsidRPr="009A2804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</w:p>
    <w:sectPr w:rsidR="00AA4E4A" w:rsidRPr="009A2804" w:rsidSect="00AA4E4A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E4" w:rsidRDefault="006F06E4" w:rsidP="00AA4E4A">
      <w:pPr>
        <w:spacing w:after="0" w:line="240" w:lineRule="auto"/>
      </w:pPr>
      <w:r>
        <w:separator/>
      </w:r>
    </w:p>
  </w:endnote>
  <w:endnote w:type="continuationSeparator" w:id="0">
    <w:p w:rsidR="006F06E4" w:rsidRDefault="006F06E4" w:rsidP="00AA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8B" w:rsidRDefault="00CE5C6B">
    <w:pPr>
      <w:pStyle w:val="Footer"/>
      <w:jc w:val="center"/>
    </w:pPr>
    <w:r>
      <w:fldChar w:fldCharType="begin"/>
    </w:r>
    <w:r w:rsidR="000B378B">
      <w:instrText xml:space="preserve"> PAGE   \* MERGEFORMAT </w:instrText>
    </w:r>
    <w:r>
      <w:fldChar w:fldCharType="separate"/>
    </w:r>
    <w:r w:rsidR="008D4FCA">
      <w:rPr>
        <w:noProof/>
      </w:rPr>
      <w:t>1</w:t>
    </w:r>
    <w:r>
      <w:rPr>
        <w:noProof/>
      </w:rPr>
      <w:fldChar w:fldCharType="end"/>
    </w:r>
  </w:p>
  <w:p w:rsidR="000B378B" w:rsidRDefault="000B3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E4" w:rsidRDefault="006F06E4" w:rsidP="00AA4E4A">
      <w:pPr>
        <w:spacing w:after="0" w:line="240" w:lineRule="auto"/>
      </w:pPr>
      <w:r>
        <w:separator/>
      </w:r>
    </w:p>
  </w:footnote>
  <w:footnote w:type="continuationSeparator" w:id="0">
    <w:p w:rsidR="006F06E4" w:rsidRDefault="006F06E4" w:rsidP="00AA4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41"/>
    <w:multiLevelType w:val="hybridMultilevel"/>
    <w:tmpl w:val="52AE71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645"/>
    <w:multiLevelType w:val="hybridMultilevel"/>
    <w:tmpl w:val="B1848A74"/>
    <w:lvl w:ilvl="0" w:tplc="0C0A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772DC48">
      <w:start w:val="2"/>
      <w:numFmt w:val="decimal"/>
      <w:lvlText w:val="%2."/>
      <w:lvlJc w:val="left"/>
      <w:pPr>
        <w:tabs>
          <w:tab w:val="num" w:pos="726"/>
        </w:tabs>
        <w:ind w:left="726" w:hanging="360"/>
      </w:pPr>
      <w:rPr>
        <w:rFonts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">
    <w:nsid w:val="1A722CDE"/>
    <w:multiLevelType w:val="hybridMultilevel"/>
    <w:tmpl w:val="C2640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6FDE"/>
    <w:multiLevelType w:val="hybridMultilevel"/>
    <w:tmpl w:val="9450582A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5653C"/>
    <w:multiLevelType w:val="hybridMultilevel"/>
    <w:tmpl w:val="492235D4"/>
    <w:lvl w:ilvl="0" w:tplc="4B321A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E1B76"/>
    <w:multiLevelType w:val="hybridMultilevel"/>
    <w:tmpl w:val="989AEE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4E6F81"/>
    <w:multiLevelType w:val="hybridMultilevel"/>
    <w:tmpl w:val="E63AC8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F26D96"/>
    <w:multiLevelType w:val="hybridMultilevel"/>
    <w:tmpl w:val="4286999E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F2C1A"/>
    <w:multiLevelType w:val="hybridMultilevel"/>
    <w:tmpl w:val="AB489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6EB7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D5E22"/>
    <w:multiLevelType w:val="hybridMultilevel"/>
    <w:tmpl w:val="2ABA7FC4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6D7EC9"/>
    <w:multiLevelType w:val="hybridMultilevel"/>
    <w:tmpl w:val="00F40C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2367F"/>
    <w:multiLevelType w:val="hybridMultilevel"/>
    <w:tmpl w:val="7182E5D2"/>
    <w:lvl w:ilvl="0" w:tplc="1B96C86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56174"/>
    <w:multiLevelType w:val="hybridMultilevel"/>
    <w:tmpl w:val="B38238FE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AE7C3A"/>
    <w:multiLevelType w:val="hybridMultilevel"/>
    <w:tmpl w:val="D95C2952"/>
    <w:lvl w:ilvl="0" w:tplc="B6B85EB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244BA"/>
    <w:multiLevelType w:val="hybridMultilevel"/>
    <w:tmpl w:val="BCA20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253C6"/>
    <w:multiLevelType w:val="hybridMultilevel"/>
    <w:tmpl w:val="69A6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E0305"/>
    <w:multiLevelType w:val="hybridMultilevel"/>
    <w:tmpl w:val="962CC1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B6208"/>
    <w:multiLevelType w:val="hybridMultilevel"/>
    <w:tmpl w:val="15CEE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650FA"/>
    <w:multiLevelType w:val="hybridMultilevel"/>
    <w:tmpl w:val="87AAE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419F0"/>
    <w:multiLevelType w:val="hybridMultilevel"/>
    <w:tmpl w:val="699C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D5D50"/>
    <w:multiLevelType w:val="hybridMultilevel"/>
    <w:tmpl w:val="699C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B6280"/>
    <w:multiLevelType w:val="hybridMultilevel"/>
    <w:tmpl w:val="88D60E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6E4230"/>
    <w:multiLevelType w:val="hybridMultilevel"/>
    <w:tmpl w:val="C24A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24A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FB05E6D"/>
    <w:multiLevelType w:val="hybridMultilevel"/>
    <w:tmpl w:val="C7768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3"/>
  </w:num>
  <w:num w:numId="5">
    <w:abstractNumId w:val="20"/>
  </w:num>
  <w:num w:numId="6">
    <w:abstractNumId w:val="15"/>
  </w:num>
  <w:num w:numId="7">
    <w:abstractNumId w:val="22"/>
  </w:num>
  <w:num w:numId="8">
    <w:abstractNumId w:val="13"/>
  </w:num>
  <w:num w:numId="9">
    <w:abstractNumId w:val="17"/>
  </w:num>
  <w:num w:numId="10">
    <w:abstractNumId w:val="11"/>
  </w:num>
  <w:num w:numId="11">
    <w:abstractNumId w:val="4"/>
  </w:num>
  <w:num w:numId="12">
    <w:abstractNumId w:val="10"/>
  </w:num>
  <w:num w:numId="13">
    <w:abstractNumId w:val="19"/>
  </w:num>
  <w:num w:numId="14">
    <w:abstractNumId w:val="21"/>
  </w:num>
  <w:num w:numId="15">
    <w:abstractNumId w:val="9"/>
  </w:num>
  <w:num w:numId="16">
    <w:abstractNumId w:val="6"/>
  </w:num>
  <w:num w:numId="17">
    <w:abstractNumId w:val="0"/>
  </w:num>
  <w:num w:numId="18">
    <w:abstractNumId w:val="12"/>
  </w:num>
  <w:num w:numId="19">
    <w:abstractNumId w:val="3"/>
  </w:num>
  <w:num w:numId="20">
    <w:abstractNumId w:val="7"/>
  </w:num>
  <w:num w:numId="21">
    <w:abstractNumId w:val="1"/>
  </w:num>
  <w:num w:numId="22">
    <w:abstractNumId w:val="24"/>
  </w:num>
  <w:num w:numId="23">
    <w:abstractNumId w:val="14"/>
  </w:num>
  <w:num w:numId="24">
    <w:abstractNumId w:val="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7984"/>
    <w:rsid w:val="000026EB"/>
    <w:rsid w:val="00015574"/>
    <w:rsid w:val="00023775"/>
    <w:rsid w:val="00030543"/>
    <w:rsid w:val="00037DD3"/>
    <w:rsid w:val="00060AAB"/>
    <w:rsid w:val="00085257"/>
    <w:rsid w:val="000949FD"/>
    <w:rsid w:val="000B378B"/>
    <w:rsid w:val="000B7F3A"/>
    <w:rsid w:val="000C7BC1"/>
    <w:rsid w:val="000D73F0"/>
    <w:rsid w:val="000E1275"/>
    <w:rsid w:val="000F2EC4"/>
    <w:rsid w:val="00106D96"/>
    <w:rsid w:val="00157141"/>
    <w:rsid w:val="00186EAF"/>
    <w:rsid w:val="001D4A26"/>
    <w:rsid w:val="001E4936"/>
    <w:rsid w:val="001F5709"/>
    <w:rsid w:val="00235F82"/>
    <w:rsid w:val="00236164"/>
    <w:rsid w:val="00244DF4"/>
    <w:rsid w:val="0025161C"/>
    <w:rsid w:val="00280F0F"/>
    <w:rsid w:val="00284C23"/>
    <w:rsid w:val="002A1112"/>
    <w:rsid w:val="002A2F03"/>
    <w:rsid w:val="002B1181"/>
    <w:rsid w:val="002D7DD4"/>
    <w:rsid w:val="003107D9"/>
    <w:rsid w:val="00325FC9"/>
    <w:rsid w:val="0032637C"/>
    <w:rsid w:val="00351413"/>
    <w:rsid w:val="0035688E"/>
    <w:rsid w:val="00365FC8"/>
    <w:rsid w:val="00367984"/>
    <w:rsid w:val="00373210"/>
    <w:rsid w:val="0037473F"/>
    <w:rsid w:val="0037596D"/>
    <w:rsid w:val="0039605D"/>
    <w:rsid w:val="003B1736"/>
    <w:rsid w:val="003B797A"/>
    <w:rsid w:val="004057AB"/>
    <w:rsid w:val="00411EF9"/>
    <w:rsid w:val="00413AB7"/>
    <w:rsid w:val="004328A5"/>
    <w:rsid w:val="00436396"/>
    <w:rsid w:val="004373B3"/>
    <w:rsid w:val="004416E5"/>
    <w:rsid w:val="00456A20"/>
    <w:rsid w:val="00460750"/>
    <w:rsid w:val="00465410"/>
    <w:rsid w:val="0047068D"/>
    <w:rsid w:val="00485792"/>
    <w:rsid w:val="00486FC9"/>
    <w:rsid w:val="004909C9"/>
    <w:rsid w:val="004A0616"/>
    <w:rsid w:val="004B00B4"/>
    <w:rsid w:val="004D0637"/>
    <w:rsid w:val="004D287B"/>
    <w:rsid w:val="004F4502"/>
    <w:rsid w:val="004F65CC"/>
    <w:rsid w:val="0056032E"/>
    <w:rsid w:val="00562CB4"/>
    <w:rsid w:val="0058141F"/>
    <w:rsid w:val="00581A67"/>
    <w:rsid w:val="005829CE"/>
    <w:rsid w:val="005963FA"/>
    <w:rsid w:val="005C1D6A"/>
    <w:rsid w:val="005D3D51"/>
    <w:rsid w:val="0064316B"/>
    <w:rsid w:val="00657766"/>
    <w:rsid w:val="006732C8"/>
    <w:rsid w:val="006750B6"/>
    <w:rsid w:val="00677EF8"/>
    <w:rsid w:val="00695C28"/>
    <w:rsid w:val="006970AA"/>
    <w:rsid w:val="006A2254"/>
    <w:rsid w:val="006C2910"/>
    <w:rsid w:val="006E5306"/>
    <w:rsid w:val="006E694D"/>
    <w:rsid w:val="006F06E4"/>
    <w:rsid w:val="006F61C4"/>
    <w:rsid w:val="00710C73"/>
    <w:rsid w:val="00716579"/>
    <w:rsid w:val="007251EA"/>
    <w:rsid w:val="007531CA"/>
    <w:rsid w:val="00753DB2"/>
    <w:rsid w:val="00761A4F"/>
    <w:rsid w:val="007A42EA"/>
    <w:rsid w:val="007B413B"/>
    <w:rsid w:val="007D7C25"/>
    <w:rsid w:val="007F0F15"/>
    <w:rsid w:val="0081381E"/>
    <w:rsid w:val="00820DB0"/>
    <w:rsid w:val="00823DAF"/>
    <w:rsid w:val="00825739"/>
    <w:rsid w:val="008273EC"/>
    <w:rsid w:val="00840485"/>
    <w:rsid w:val="00844EF9"/>
    <w:rsid w:val="008558AB"/>
    <w:rsid w:val="00871BD1"/>
    <w:rsid w:val="008A71E9"/>
    <w:rsid w:val="008A7FAA"/>
    <w:rsid w:val="008B0B3E"/>
    <w:rsid w:val="008C32D9"/>
    <w:rsid w:val="008D4FCA"/>
    <w:rsid w:val="008E2240"/>
    <w:rsid w:val="008E5F07"/>
    <w:rsid w:val="008F1BFD"/>
    <w:rsid w:val="008F4C31"/>
    <w:rsid w:val="00920C05"/>
    <w:rsid w:val="00936F87"/>
    <w:rsid w:val="00982507"/>
    <w:rsid w:val="009A2804"/>
    <w:rsid w:val="009E4CCB"/>
    <w:rsid w:val="00A129ED"/>
    <w:rsid w:val="00A22E7B"/>
    <w:rsid w:val="00A35E93"/>
    <w:rsid w:val="00A36E1E"/>
    <w:rsid w:val="00A468EB"/>
    <w:rsid w:val="00A47154"/>
    <w:rsid w:val="00A73CEE"/>
    <w:rsid w:val="00A8281F"/>
    <w:rsid w:val="00A96636"/>
    <w:rsid w:val="00AA4E4A"/>
    <w:rsid w:val="00AA6E46"/>
    <w:rsid w:val="00AC3604"/>
    <w:rsid w:val="00AF2D14"/>
    <w:rsid w:val="00B14F39"/>
    <w:rsid w:val="00B20890"/>
    <w:rsid w:val="00B37300"/>
    <w:rsid w:val="00B47ADE"/>
    <w:rsid w:val="00B50150"/>
    <w:rsid w:val="00B52B54"/>
    <w:rsid w:val="00B55DD7"/>
    <w:rsid w:val="00B7539C"/>
    <w:rsid w:val="00B818B4"/>
    <w:rsid w:val="00B81A3A"/>
    <w:rsid w:val="00B972AE"/>
    <w:rsid w:val="00BB2819"/>
    <w:rsid w:val="00BC7634"/>
    <w:rsid w:val="00BE199C"/>
    <w:rsid w:val="00BF0221"/>
    <w:rsid w:val="00BF6BDB"/>
    <w:rsid w:val="00C23B3D"/>
    <w:rsid w:val="00C42BAE"/>
    <w:rsid w:val="00C77669"/>
    <w:rsid w:val="00CA0AFB"/>
    <w:rsid w:val="00CB2EFE"/>
    <w:rsid w:val="00CE5C6B"/>
    <w:rsid w:val="00CF3332"/>
    <w:rsid w:val="00D17AEC"/>
    <w:rsid w:val="00D46519"/>
    <w:rsid w:val="00D55EFB"/>
    <w:rsid w:val="00D765EA"/>
    <w:rsid w:val="00DB2EB7"/>
    <w:rsid w:val="00DD0932"/>
    <w:rsid w:val="00DD2176"/>
    <w:rsid w:val="00DD3545"/>
    <w:rsid w:val="00DD3D88"/>
    <w:rsid w:val="00DD4EC9"/>
    <w:rsid w:val="00DE32CD"/>
    <w:rsid w:val="00DE356E"/>
    <w:rsid w:val="00DE6D32"/>
    <w:rsid w:val="00E056D4"/>
    <w:rsid w:val="00E10DED"/>
    <w:rsid w:val="00E11D77"/>
    <w:rsid w:val="00E14A95"/>
    <w:rsid w:val="00E301E2"/>
    <w:rsid w:val="00E37A9F"/>
    <w:rsid w:val="00E70B68"/>
    <w:rsid w:val="00EE72BC"/>
    <w:rsid w:val="00F20925"/>
    <w:rsid w:val="00F2146E"/>
    <w:rsid w:val="00F34349"/>
    <w:rsid w:val="00F646A4"/>
    <w:rsid w:val="00FC4D08"/>
    <w:rsid w:val="00FD2F17"/>
    <w:rsid w:val="00FE0C06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s-MX" w:eastAsia="es-MX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 w:uiPriority="0"/>
    <w:lsdException w:name="annotation text" w:locked="0" w:uiPriority="0"/>
    <w:lsdException w:name="header" w:locked="0" w:uiPriority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04BC9"/>
    <w:pPr>
      <w:spacing w:after="200" w:line="276" w:lineRule="auto"/>
    </w:pPr>
    <w:rPr>
      <w:sz w:val="22"/>
      <w:szCs w:val="22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8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8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84"/>
    <w:rPr>
      <w:rFonts w:ascii="Tahoma" w:hAnsi="Tahoma" w:cs="Tahoma"/>
      <w:sz w:val="16"/>
      <w:szCs w:val="16"/>
      <w:lang w:val="en-US"/>
    </w:rPr>
  </w:style>
  <w:style w:type="paragraph" w:customStyle="1" w:styleId="Listavistosa-nfasis11">
    <w:name w:val="Lista vistosa - Énfasis 11"/>
    <w:basedOn w:val="Normal"/>
    <w:uiPriority w:val="34"/>
    <w:qFormat/>
    <w:rsid w:val="00367984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67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DefaultParagraphFont"/>
    <w:uiPriority w:val="99"/>
    <w:semiHidden/>
    <w:rsid w:val="00AC0D1B"/>
    <w:rPr>
      <w:color w:val="808080"/>
    </w:rPr>
  </w:style>
  <w:style w:type="paragraph" w:styleId="FootnoteText">
    <w:name w:val="footnote text"/>
    <w:basedOn w:val="Normal"/>
    <w:link w:val="FootnoteTextChar"/>
    <w:semiHidden/>
    <w:rsid w:val="008100BA"/>
    <w:pPr>
      <w:spacing w:after="0" w:line="240" w:lineRule="auto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8100B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semiHidden/>
    <w:rsid w:val="008100BA"/>
    <w:rPr>
      <w:vertAlign w:val="superscript"/>
    </w:rPr>
  </w:style>
  <w:style w:type="paragraph" w:styleId="BodyText">
    <w:name w:val="Body Text"/>
    <w:basedOn w:val="Normal"/>
    <w:link w:val="BodyTextChar"/>
    <w:semiHidden/>
    <w:rsid w:val="004A2A1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4A2A13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DA39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A3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41F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7251EA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es-CO" w:eastAsia="en-US"/>
    </w:rPr>
  </w:style>
  <w:style w:type="character" w:customStyle="1" w:styleId="CommentTextChar">
    <w:name w:val="Comment Text Char"/>
    <w:basedOn w:val="DefaultParagraphFont"/>
    <w:link w:val="CommentText"/>
    <w:rsid w:val="007251EA"/>
    <w:rPr>
      <w:rFonts w:ascii="Times New Roman" w:eastAsia="Times New Roman" w:hAnsi="Times New Roman"/>
      <w:noProof/>
      <w:sz w:val="24"/>
      <w:szCs w:val="24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s-MX" w:eastAsia="es-MX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 w:uiPriority="0"/>
    <w:lsdException w:name="annotation text" w:locked="0" w:uiPriority="0"/>
    <w:lsdException w:name="header" w:locked="0" w:uiPriority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04BC9"/>
    <w:pPr>
      <w:spacing w:after="200" w:line="276" w:lineRule="auto"/>
    </w:pPr>
    <w:rPr>
      <w:sz w:val="22"/>
      <w:szCs w:val="22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98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98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984"/>
    <w:rPr>
      <w:rFonts w:ascii="Tahoma" w:hAnsi="Tahoma" w:cs="Tahoma"/>
      <w:sz w:val="16"/>
      <w:szCs w:val="16"/>
      <w:lang w:val="en-US"/>
    </w:rPr>
  </w:style>
  <w:style w:type="paragraph" w:customStyle="1" w:styleId="Listavistosa-nfasis11">
    <w:name w:val="Lista vistosa - Énfasis 11"/>
    <w:basedOn w:val="Normal"/>
    <w:uiPriority w:val="34"/>
    <w:qFormat/>
    <w:rsid w:val="00367984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367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AC0D1B"/>
    <w:rPr>
      <w:color w:val="808080"/>
    </w:rPr>
  </w:style>
  <w:style w:type="paragraph" w:styleId="Textonotapie">
    <w:name w:val="footnote text"/>
    <w:basedOn w:val="Normal"/>
    <w:link w:val="TextonotapieCar"/>
    <w:semiHidden/>
    <w:rsid w:val="008100BA"/>
    <w:pPr>
      <w:spacing w:after="0" w:line="240" w:lineRule="auto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100B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8100B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4A2A1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2A13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DA39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36E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141F"/>
    <w:pPr>
      <w:ind w:left="720"/>
      <w:contextualSpacing/>
    </w:pPr>
  </w:style>
  <w:style w:type="paragraph" w:styleId="Textocomentario">
    <w:name w:val="annotation text"/>
    <w:basedOn w:val="Normal"/>
    <w:link w:val="TextocomentarioCar"/>
    <w:rsid w:val="007251EA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rsid w:val="007251EA"/>
    <w:rPr>
      <w:rFonts w:ascii="Times New Roman" w:eastAsia="Times New Roman" w:hAnsi="Times New Roman"/>
      <w:noProof/>
      <w:sz w:val="24"/>
      <w:szCs w:val="24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associales.mx" TargetMode="External"/><Relationship Id="rId13" Type="http://schemas.openxmlformats.org/officeDocument/2006/relationships/hyperlink" Target="http://www.tm.org.mx/transparencia-y-rendicion-de-cuentas-en-la-educacion-media-superior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tm.org.mx/transparencia-y-rendicion-de-cuentas-en-la-educacion-media-superi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.org.mx/transparencia-y-rendicion-de-cuentas-en-la-educacion-media-superio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6.xml"/><Relationship Id="rId10" Type="http://schemas.openxmlformats.org/officeDocument/2006/relationships/hyperlink" Target="http://sems.gob.mx/es/sems/transparencia_mexicana_pnud_sep_presentan_libro_sobre_transparencia_rendicion_cuentas_em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programassociales.mx" TargetMode="External"/><Relationship Id="rId14" Type="http://schemas.openxmlformats.org/officeDocument/2006/relationships/hyperlink" Target="http://sems.gob.mx/es/sems/transparencia_mexicana_pnud_sep_presentan_libro_sobre_transparencia_rendicion_cuentas_ems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2014-06-24T17:00:00+00:00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Donor Report</TermName>
          <TermId xmlns="http://schemas.microsoft.com/office/infopath/2007/PartnerControls">632012e1-2edc-436c-bf11-0ed9e79cd8fe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1111</Value>
      <Value>1101</Value>
      <Value>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00057702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</TermName>
          <TermId xmlns="http://schemas.microsoft.com/office/infopath/2007/PartnerControls">09c92250-f383-4e29-b3a1-7eef1b6e3e10</TermId>
        </TermInfo>
      </Terms>
    </gc6531b704974d528487414686b72f6f>
    <_dlc_DocId xmlns="f1161f5b-24a3-4c2d-bc81-44cb9325e8ee">ATLASPDC-4-18751</_dlc_DocId>
    <_dlc_DocIdUrl xmlns="f1161f5b-24a3-4c2d-bc81-44cb9325e8ee">
      <Url>https://info.undp.org/docs/pdc/_layouts/DocIdRedir.aspx?ID=ATLASPDC-4-18751</Url>
      <Description>ATLASPDC-4-18751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98AAB-1C2E-4863-B1EE-30C9C10634FA}"/>
</file>

<file path=customXml/itemProps2.xml><?xml version="1.0" encoding="utf-8"?>
<ds:datastoreItem xmlns:ds="http://schemas.openxmlformats.org/officeDocument/2006/customXml" ds:itemID="{FDDA5D42-E7A6-406F-AC4D-DFBCBF81C745}"/>
</file>

<file path=customXml/itemProps3.xml><?xml version="1.0" encoding="utf-8"?>
<ds:datastoreItem xmlns:ds="http://schemas.openxmlformats.org/officeDocument/2006/customXml" ds:itemID="{6993C54E-F9BE-48AA-83A8-6E1B02879649}"/>
</file>

<file path=customXml/itemProps4.xml><?xml version="1.0" encoding="utf-8"?>
<ds:datastoreItem xmlns:ds="http://schemas.openxmlformats.org/officeDocument/2006/customXml" ds:itemID="{7058FF25-4442-40AC-9E36-4BC1E41649F0}"/>
</file>

<file path=customXml/itemProps5.xml><?xml version="1.0" encoding="utf-8"?>
<ds:datastoreItem xmlns:ds="http://schemas.openxmlformats.org/officeDocument/2006/customXml" ds:itemID="{4FF43285-69EE-49D0-A804-7A9EE84322D1}"/>
</file>

<file path=customXml/itemProps6.xml><?xml version="1.0" encoding="utf-8"?>
<ds:datastoreItem xmlns:ds="http://schemas.openxmlformats.org/officeDocument/2006/customXml" ds:itemID="{21A69140-0D44-4261-95FC-A11FA943E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3681</Words>
  <Characters>20248</Characters>
  <Application>Microsoft Office Word</Application>
  <DocSecurity>4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ONU</Company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Bourns</dc:creator>
  <cp:lastModifiedBy>juliette.butticker</cp:lastModifiedBy>
  <cp:revision>2</cp:revision>
  <cp:lastPrinted>2010-07-19T21:51:00Z</cp:lastPrinted>
  <dcterms:created xsi:type="dcterms:W3CDTF">2013-01-24T21:50:00Z</dcterms:created>
  <dcterms:modified xsi:type="dcterms:W3CDTF">2013-01-24T21:50:00Z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220d5315-34e2-4987-80c7-410c71bd80ba</vt:lpwstr>
  </property>
  <property fmtid="{D5CDD505-2E9C-101B-9397-08002B2CF9AE}" pid="4" name="UNDPCountry">
    <vt:lpwstr/>
  </property>
  <property fmtid="{D5CDD505-2E9C-101B-9397-08002B2CF9AE}" pid="5" name="Atlas_x0020_Document_x0020_Type">
    <vt:lpwstr>237;#Donor Report|1721730c-4059-4c70-9961-19247f3f89af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1;#English|7f98b732-4b5b-4b70-ba90-a0eff09b5d2d</vt:lpwstr>
  </property>
  <property fmtid="{D5CDD505-2E9C-101B-9397-08002B2CF9AE}" pid="10" name="Operating Unit0">
    <vt:lpwstr>1101;#MEX|09c92250-f383-4e29-b3a1-7eef1b6e3e10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1111;#Donor Report|632012e1-2edc-436c-bf11-0ed9e79cd8fe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